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MODULDETALJER</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Modulens namn</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Tillämpade multilogverktyg &amp; övrigt</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Modulbeskrivning</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Den här modulen introducerar ett av verktygen från häftet. Eftersom egen erfarenhet är mer värdefullt än en rent teoretisk genomgång, är det bra om deltagarna får prova så många verktyg som möjligt under evenemanget. Det bästa är om verktygen presenteras för deltagarna genom att de själva får använda dem. De kan då kopplas till vilket ämne som helst. Sådana ämnen kan till exempel vara relaterade till frågor som rör högre utbildning eller till frågan om hur man skapar ett multiplikatorevenemang. Även andra ämnen kan väljas som är viktiga för värdarna och som inte är kopplade till multiloger, till exempel en presentation av värdinstitutionen. Vissa ämnen kan vara svåra att kombinera med ett verktyg från verktygslådan och kan då introduceras i evenemanget på andra sätt när som helst. </w:t>
            </w:r>
          </w:p>
          <w:p w:rsidR="00000000" w:rsidDel="00000000" w:rsidP="00000000" w:rsidRDefault="00000000" w:rsidRPr="00000000" w14:paraId="00000008">
            <w:pPr>
              <w:spacing w:after="160" w:line="276" w:lineRule="auto"/>
              <w:rPr/>
            </w:pPr>
            <w:r w:rsidDel="00000000" w:rsidR="00000000" w:rsidRPr="00000000">
              <w:rPr>
                <w:rtl w:val="0"/>
              </w:rPr>
              <w:t xml:space="preserve">Eftersom många av modulerna redan introducerat ett eller flera verktyg, behöver den här modulen inte nödvändigtvis hållas separat. Den kan kombineras med vilken som helst av modulerna, framför allt modulerna tre, fyra och fem.</w:t>
            </w:r>
          </w:p>
          <w:p w:rsidR="00000000" w:rsidDel="00000000" w:rsidP="00000000" w:rsidRDefault="00000000" w:rsidRPr="00000000" w14:paraId="00000009">
            <w:pPr>
              <w:spacing w:after="160" w:line="276" w:lineRule="auto"/>
              <w:rPr/>
            </w:pPr>
            <w:r w:rsidDel="00000000" w:rsidR="00000000" w:rsidRPr="00000000">
              <w:rPr>
                <w:rtl w:val="0"/>
              </w:rPr>
              <w:t xml:space="preserve">Det måste också beaktas att olika beredskapsdomäner kan göra det möjligt att använda mer eller mindre komplexa verktyg inom olika grupper.</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MODULENS RESULTAT (kunskap och färdigheter)</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Efter genomgången modul kommer läraren att ha:</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fått erfarenhet av ytterligare ett verktyg från verktygslådan.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lärt sig att lära ut ytterligare ett verktyg till andra.</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widowControl w:val="0"/>
              <w:spacing w:after="240" w:line="276" w:lineRule="auto"/>
              <w:jc w:val="left"/>
              <w:rPr/>
            </w:pPr>
            <w:r w:rsidDel="00000000" w:rsidR="00000000" w:rsidRPr="00000000">
              <w:rPr>
                <w:rtl w:val="0"/>
              </w:rPr>
              <w:t xml:space="preserve">engagerat sig i frågor med koppling till högre utbildning eller till något annat viktigt ämne.</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1"/>
            <w:bookmarkEnd w:id="1"/>
            <w:r w:rsidDel="00000000" w:rsidR="00000000" w:rsidRPr="00000000">
              <w:rPr>
                <w:b w:val="1"/>
                <w:rtl w:val="0"/>
              </w:rPr>
              <w:t xml:space="preserve">INNEHÅLL (lista med ämnen som omfattas)</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328" w:hRule="atLeast"/>
          <w:tblHeader w:val="0"/>
        </w:trPr>
        <w:tc>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rtl w:val="0"/>
              </w:rPr>
              <w:t xml:space="preserve">Beskrivning av det tillämpade verktyget och den uppgift som ska utföras.</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Deltagarnas utförande av uppgiften.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76" w:lineRule="auto"/>
              <w:ind w:left="720" w:hanging="360"/>
              <w:jc w:val="left"/>
              <w:rPr/>
            </w:pPr>
            <w:r w:rsidDel="00000000" w:rsidR="00000000" w:rsidRPr="00000000">
              <w:rPr>
                <w:color w:val="000000"/>
                <w:rtl w:val="0"/>
              </w:rPr>
              <w:t xml:space="preserve">Idealt, en samtalscirkel eller liknande där resultaten kan delas och utmanas. </w:t>
            </w: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pPr>
            <w:r w:rsidDel="00000000" w:rsidR="00000000" w:rsidRPr="00000000">
              <w:rPr>
                <w:rtl w:val="0"/>
              </w:rPr>
              <w:t xml:space="preserve">Vilket som helst av de 20 verktygen i verktygslådan (digital användning i enlighet med valt verktyg).</w:t>
            </w:r>
          </w:p>
        </w:tc>
      </w:tr>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rPr>
                <w:color w:val="000000"/>
              </w:rPr>
            </w:pPr>
            <w:r w:rsidDel="00000000" w:rsidR="00000000" w:rsidRPr="00000000">
              <w:rPr>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pPr>
            <w:r w:rsidDel="00000000" w:rsidR="00000000" w:rsidRPr="00000000">
              <w:rPr>
                <w:rtl w:val="0"/>
              </w:rPr>
              <w:t xml:space="preserve">Inget verktyg och ingen resurs alls.</w:t>
            </w:r>
          </w:p>
        </w:tc>
      </w:tr>
    </w:tbl>
    <w:p w:rsidR="00000000" w:rsidDel="00000000" w:rsidP="00000000" w:rsidRDefault="00000000" w:rsidRPr="00000000" w14:paraId="00000022">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3">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4">
            <w:pPr>
              <w:spacing w:line="276" w:lineRule="auto"/>
              <w:rPr/>
            </w:pPr>
            <w:bookmarkStart w:colFirst="0" w:colLast="0" w:name="_heading=h.gjdgxs" w:id="2"/>
            <w:bookmarkEnd w:id="2"/>
            <w:r w:rsidDel="00000000" w:rsidR="00000000" w:rsidRPr="00000000">
              <w:rPr>
                <w:rtl w:val="0"/>
              </w:rPr>
              <w:t xml:space="preserve">Värdarna tycker att verktyget för omvänd brainstorming är ganska spännande, men vet inte hur man kombinerar det med någon av de andra modulerna. Dessutom har de ännu inte haft möjlighet att diskutera hur man själv skapar ett multiplikatorevenemang. Därför uppmanar de deltagarna att brainstorma om hur ett multiplikatorevenemang inte ska se ut. Utifrån de framkomna idéerna presenterar sedan värdarna hur ett sådant evenemang skulle kunna struktureras. Detta kan i sin tur leda till en diskussion med hela gruppen om fördelarna och nackdelarna med det föreslagna modulsystemet. </w:t>
            </w:r>
          </w:p>
          <w:p w:rsidR="00000000" w:rsidDel="00000000" w:rsidP="00000000" w:rsidRDefault="00000000" w:rsidRPr="00000000" w14:paraId="00000025">
            <w:pPr>
              <w:spacing w:line="276" w:lineRule="auto"/>
              <w:rPr/>
            </w:pPr>
            <w:r w:rsidDel="00000000" w:rsidR="00000000" w:rsidRPr="00000000">
              <w:rPr>
                <w:rtl w:val="0"/>
              </w:rPr>
              <w:t xml:space="preserve">Dessutom vill värdarna presentera den institution som arrangerar evenemanget och lyfta fram ett annat evenemang som planeras månaden efter. Värdarna hittade inget lämpligt verktyg för dessa båda ämnen och beslöt därför att informera deltagarna utan att inkludera något av verktygen.</w:t>
            </w:r>
          </w:p>
          <w:p w:rsidR="00000000" w:rsidDel="00000000" w:rsidP="00000000" w:rsidRDefault="00000000" w:rsidRPr="00000000" w14:paraId="00000026">
            <w:pPr>
              <w:spacing w:line="276" w:lineRule="auto"/>
              <w:rPr/>
            </w:pPr>
            <w:r w:rsidDel="00000000" w:rsidR="00000000" w:rsidRPr="00000000">
              <w:rPr>
                <w:rtl w:val="0"/>
              </w:rPr>
              <w:t xml:space="preserve">Den beräknade tiden för denna modul kan variera från 30 till 90 minuter.</w:t>
            </w:r>
          </w:p>
        </w:tc>
      </w:tr>
    </w:tbl>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derrubrik">
    <w:name w:val="Subtitle"/>
    <w:basedOn w:val="Normal"/>
    <w:next w:val="Normal"/>
    <w:uiPriority w:val="11"/>
    <w:qFormat w:val="1"/>
    <w:pPr>
      <w:spacing w:after="240"/>
      <w:jc w:val="left"/>
    </w:pPr>
    <w:rPr>
      <w:rFonts w:ascii="Quattrocento Sans" w:cs="Quattrocento Sans" w:eastAsia="Quattrocento Sans" w:hAnsi="Quattrocento Sans"/>
      <w:i w:val="1"/>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
    <w:tblPr>
      <w:tblStyleRowBandSize w:val="1"/>
      <w:tblStyleColBandSize w:val="1"/>
      <w:tblCellMar>
        <w:top w:w="0.0" w:type="dxa"/>
        <w:left w:w="115.0" w:type="dxa"/>
        <w:bottom w:w="0.0" w:type="dxa"/>
        <w:right w:w="115.0" w:type="dxa"/>
      </w:tblCellMar>
    </w:tblPr>
  </w:style>
  <w:style w:type="table" w:styleId="afff2" w:customStyle="1">
    <w:basedOn w:val="TableNormal"/>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ekMmCKCOYlzpKvcBcRxHIY3BQ==">CgMxLjAyCWguMWZvYjl0ZTIOaC5rcGNmbWlrMmVpbXEyCGguZ2pkZ3hzOAByITFYNWZfbWxncEtkYVFnV0s5dVZmSUF2eXpoX3R2Zlo3eQ==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2024-09-20T09:26:00Z</dcterms:created>
  <dc:creator>Magdalena Dahlborg</dc:creator>
</cp:coreProperties>
</file>