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widowControl w:val="0"/>
        <w:spacing w:after="0" w:line="276" w:lineRule="auto"/>
        <w:jc w:val="left"/>
        <w:rPr>
          <w:rFonts w:ascii="Arial" w:hAnsi="Arial" w:eastAsia="Arial" w:cs="Arial"/>
          <w:b w:val="1"/>
          <w:sz w:val="22"/>
          <w:szCs w:val="22"/>
        </w:rPr>
      </w:pPr>
      <w:bookmarkStart w:name="_heading=h.gjdgxs" w:colFirst="0" w:colLast="0" w:id="0"/>
      <w:bookmarkEnd w:id="0"/>
      <w:r w:rsidRPr="00000000" w:rsidDel="00000000" w:rsidR="00000000">
        <w:rPr>
          <w:rtl w:val="0"/>
        </w:rPr>
      </w:r>
    </w:p>
    <w:tbl>
      <w:tblPr>
        <w:tblStyle w:val="Table1"/>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370"/>
        <w:gridCol w:w="6839"/>
        <w:tblGridChange w:id="0">
          <w:tblGrid>
            <w:gridCol w:w="2370"/>
            <w:gridCol w:w="6839"/>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PODROBNOSTI O MODULE</w:t>
            </w:r>
          </w:p>
        </w:tc>
      </w:tr>
      <w:tr>
        <w:trPr>
          <w:cantSplit w:val="0"/>
          <w:trHeight w:val="260" w:hRule="atLeast"/>
          <w:tblHeader w:val="0"/>
        </w:trPr>
        <w:tc>
          <w:tcPr>
            <w:shd w:val="clear" w:fill="b8cce4"/>
          </w:tcPr>
          <w:p>
            <w:pPr>
              <w:spacing w:line="276" w:lineRule="auto"/>
              <w:rPr/>
            </w:pPr>
            <w:r w:rsidRPr="00000000" w:rsidDel="00000000" w:rsidR="00000000">
              <w:rPr>
                <w:rtl w:val="0"/>
              </w:rPr>
              <w:t xml:space="preserve">Názov modulu</w:t>
            </w:r>
          </w:p>
        </w:tc>
        <w:tc>
          <w:tcPr>
            <w:shd w:val="clear" w:fill="b8cce4"/>
          </w:tcPr>
          <w:p>
            <w:pPr>
              <w:spacing w:line="276" w:lineRule="auto"/>
              <w:rPr/>
            </w:pPr>
            <w:r w:rsidRPr="00000000" w:rsidDel="00000000" w:rsidR="00000000">
              <w:rPr>
                <w:rtl w:val="0"/>
              </w:rPr>
              <w:t xml:space="preserve">Aplikované nástroje Multilogue a rôzne</w:t>
            </w:r>
          </w:p>
        </w:tc>
      </w:tr>
      <w:tr>
        <w:trPr>
          <w:cantSplit w:val="0"/>
          <w:trHeight w:val="4360" w:hRule="atLeast"/>
          <w:tblHeader w:val="0"/>
        </w:trPr>
        <w:tc>
          <w:tcPr>
            <w:shd w:val="clear" w:fill="cbcdd1"/>
          </w:tcPr>
          <w:p>
            <w:pPr>
              <w:spacing w:line="276" w:lineRule="auto"/>
              <w:rPr/>
            </w:pPr>
            <w:r w:rsidRPr="00000000" w:rsidDel="00000000" w:rsidR="00000000">
              <w:rPr>
                <w:rtl w:val="0"/>
              </w:rPr>
              <w:t xml:space="preserve">Opis modulu</w:t>
            </w:r>
          </w:p>
        </w:tc>
        <w:tc>
          <w:tcPr/>
          <w:p>
            <w:pPr>
              <w:spacing w:after="160" w:line="276" w:lineRule="auto"/>
              <w:rPr/>
            </w:pPr>
            <w:bookmarkStart w:name="_heading=h.1fob9te" w:colFirst="0" w:colLast="0" w:id="1"/>
            <w:bookmarkEnd w:id="1"/>
            <w:r w:rsidRPr="00000000" w:rsidDel="00000000" w:rsidR="00000000">
              <w:rPr>
                <w:rtl w:val="0"/>
              </w:rPr>
              <w:t xml:space="preserve">Tento modul predstavuje jeden z nástrojov z brožúry. Keďže priama skúsenosť je cennejšia ako len teoretický prístup, odporúča sa, aby si účastníci počas podujatia vyskúšali čo najviac nástrojov. Prednostne sa účastníkom nástroj predstaví prostredníctvom ich používania. Pritom sa nástroj môže spájať s akoukoľvek témou. Téma môže súvisieť napríklad s otázkami týkajúcimi sa vysokoškolského vzdelávania alebo s otázkou, ako vytvoriť multiplikačné podujatie. Možno však zvoliť aj iné témy, ktoré sú pre hostiteľov dôležité a nesúvisia s multilogom, napríklad prezentácia hostiteľskej inštitúcie. Niektoré témy by bolo ťažké spojiť s nástrojom zo súboru nástrojov a môžu byť do podujatia zaradené samostatne v ktoromkoľvek vhodnom čase. </w:t>
            </w:r>
          </w:p>
          <w:p>
            <w:pPr>
              <w:spacing w:after="160" w:line="276" w:lineRule="auto"/>
              <w:rPr/>
            </w:pPr>
            <w:r w:rsidRPr="00000000" w:rsidDel="00000000" w:rsidR="00000000">
              <w:rPr>
                <w:rtl w:val="0"/>
              </w:rPr>
              <w:t xml:space="preserve">Keďže mnohé z ostatných modulov už zavádzajú jeden alebo viacero nástrojov, tento modul si nemusíte nevyhnutne vyberať samostatne. Možno ho kombinovať s ktorýmkoľvek modulom, väčšinou so všetkými </w:t>
            </w:r>
            <w:r w:rsidRPr="00000000" w:rsidDel="00000000" w:rsidR="00000000">
              <w:rPr>
                <w:rtl w:val="0"/>
              </w:rPr>
              <w:t xml:space="preserve">tromi, štyrmi a </w:t>
            </w:r>
            <w:r w:rsidRPr="00000000" w:rsidDel="00000000" w:rsidR="00000000">
              <w:rPr>
                <w:rtl w:val="0"/>
              </w:rPr>
              <w:t xml:space="preserve">piatimi.</w:t>
            </w:r>
          </w:p>
          <w:p>
            <w:pPr>
              <w:spacing w:after="160" w:line="276" w:lineRule="auto"/>
              <w:rPr/>
            </w:pPr>
            <w:r w:rsidRPr="00000000" w:rsidDel="00000000" w:rsidR="00000000">
              <w:rPr>
                <w:rtl w:val="0"/>
              </w:rPr>
              <w:t xml:space="preserve">Je tiež potrebné vziať do úvahy, že rôzne </w:t>
            </w:r>
            <w:r w:rsidRPr="00000000" w:rsidDel="00000000" w:rsidR="00000000">
              <w:rPr>
                <w:rtl w:val="0"/>
              </w:rPr>
              <w:t xml:space="preserve">oblasti </w:t>
            </w:r>
            <w:r w:rsidRPr="00000000" w:rsidDel="00000000" w:rsidR="00000000">
              <w:rPr>
                <w:rtl w:val="0"/>
              </w:rPr>
              <w:t xml:space="preserve">pripravenosti </w:t>
            </w:r>
            <w:r w:rsidRPr="00000000" w:rsidDel="00000000" w:rsidR="00000000">
              <w:rPr>
                <w:rtl w:val="0"/>
              </w:rPr>
              <w:t xml:space="preserve">môžu umožniť používanie viac alebo menej komplexných nástrojov v rámci rôznych skupín.</w:t>
            </w:r>
          </w:p>
        </w:tc>
      </w:tr>
    </w:tbl>
    <w:p w:rsidRPr="00000000" w:rsidR="00000000" w:rsidDel="00000000" w:rsidP="00000000" w:rsidRDefault="00000000" w14:paraId="0000000A">
      <w:pPr>
        <w:spacing w:line="276" w:lineRule="auto"/>
        <w:rPr/>
      </w:pPr>
      <w:r w:rsidRPr="00000000" w:rsidDel="00000000" w:rsidR="00000000">
        <w:rPr>
          <w:rtl w:val="0"/>
        </w:rPr>
      </w:r>
    </w:p>
    <w:tbl>
      <w:tblPr>
        <w:tblStyle w:val="Table2"/>
        <w:tblW w:w="9242.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384"/>
        <w:gridCol w:w="7858"/>
        <w:tblGridChange w:id="0">
          <w:tblGrid>
            <w:gridCol w:w="1384"/>
            <w:gridCol w:w="7858"/>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VÝSLEDKY UČENIA SA V MODULE (vedomosti a zručnosti)</w:t>
            </w:r>
          </w:p>
        </w:tc>
      </w:tr>
      <w:tr>
        <w:trPr>
          <w:cantSplit w:val="0"/>
          <w:tblHeader w:val="0"/>
        </w:trPr>
        <w:tc>
          <w:tcPr>
            <w:gridSpan w:val="2"/>
            <w:shd w:val="clear" w:fill="cbcdd1"/>
          </w:tcPr>
          <w:p>
            <w:pPr>
              <w:spacing w:line="276" w:lineRule="auto"/>
              <w:jc w:val="left"/>
              <w:rPr>
                <w:b w:val="1"/>
              </w:rPr>
            </w:pPr>
            <w:r w:rsidRPr="00000000" w:rsidDel="00000000" w:rsidR="00000000">
              <w:rPr>
                <w:b w:val="1"/>
                <w:rtl w:val="0"/>
              </w:rPr>
              <w:t xml:space="preserve">Po úspešnom absolvovaní tohto modulu bude pedagóg:</w:t>
            </w:r>
          </w:p>
        </w:tc>
      </w:tr>
      <w:tr>
        <w:trPr>
          <w:cantSplit w:val="0"/>
          <w:tblHeader w:val="0"/>
        </w:trPr>
        <w:tc>
          <w:tcPr/>
          <w:p>
            <w:pPr>
              <w:spacing w:line="276" w:lineRule="auto"/>
              <w:rPr/>
            </w:pPr>
            <w:r w:rsidRPr="00000000" w:rsidDel="00000000" w:rsidR="00000000">
              <w:rPr>
                <w:rtl w:val="0"/>
              </w:rPr>
              <w:t xml:space="preserve">LO1</w:t>
            </w:r>
          </w:p>
        </w:tc>
        <w:tc>
          <w:tcPr/>
          <w:p>
            <w:pPr>
              <w:widowControl w:val="0"/>
              <w:spacing w:after="240" w:line="276" w:lineRule="auto"/>
              <w:jc w:val="left"/>
              <w:rPr/>
            </w:pPr>
            <w:r w:rsidRPr="00000000" w:rsidDel="00000000" w:rsidR="00000000">
              <w:rPr>
                <w:rtl w:val="0"/>
              </w:rPr>
              <w:t xml:space="preserve">zažili ešte jeden nástroj zo súboru nástrojov. </w:t>
            </w:r>
          </w:p>
        </w:tc>
      </w:tr>
      <w:tr>
        <w:trPr>
          <w:cantSplit w:val="0"/>
          <w:tblHeader w:val="0"/>
        </w:trPr>
        <w:tc>
          <w:tcPr/>
          <w:p>
            <w:pPr>
              <w:spacing w:line="276" w:lineRule="auto"/>
              <w:rPr/>
            </w:pPr>
            <w:r w:rsidRPr="00000000" w:rsidDel="00000000" w:rsidR="00000000">
              <w:rPr>
                <w:rtl w:val="0"/>
              </w:rPr>
              <w:t xml:space="preserve">LO2</w:t>
            </w:r>
          </w:p>
        </w:tc>
        <w:tc>
          <w:tcPr/>
          <w:p>
            <w:pPr>
              <w:widowControl w:val="0"/>
              <w:spacing w:after="240" w:line="276" w:lineRule="auto"/>
              <w:jc w:val="left"/>
              <w:rPr/>
            </w:pPr>
            <w:r w:rsidRPr="00000000" w:rsidDel="00000000" w:rsidR="00000000">
              <w:rPr>
                <w:rtl w:val="0"/>
              </w:rPr>
              <w:t xml:space="preserve">byť schopný naučiť ďalšie nástroje ostatných.</w:t>
            </w:r>
          </w:p>
        </w:tc>
      </w:tr>
      <w:tr>
        <w:trPr>
          <w:cantSplit w:val="0"/>
          <w:tblHeader w:val="0"/>
        </w:trPr>
        <w:tc>
          <w:tcPr/>
          <w:p>
            <w:pPr>
              <w:spacing w:line="276" w:lineRule="auto"/>
              <w:rPr/>
            </w:pPr>
            <w:r w:rsidRPr="00000000" w:rsidDel="00000000" w:rsidR="00000000">
              <w:rPr>
                <w:rtl w:val="0"/>
              </w:rPr>
              <w:t xml:space="preserve">LO3</w:t>
            </w:r>
          </w:p>
        </w:tc>
        <w:tc>
          <w:tcPr/>
          <w:p>
            <w:pPr>
              <w:widowControl w:val="0"/>
              <w:spacing w:after="240" w:line="276" w:lineRule="auto"/>
              <w:jc w:val="left"/>
              <w:rPr/>
            </w:pPr>
            <w:r w:rsidRPr="00000000" w:rsidDel="00000000" w:rsidR="00000000">
              <w:rPr>
                <w:rtl w:val="0"/>
              </w:rPr>
              <w:t xml:space="preserve">sa zaoberali otázkami súvisiacimi s vysokoškolským vzdelávaním alebo inou dôležitou témou.</w:t>
            </w:r>
          </w:p>
        </w:tc>
      </w:tr>
    </w:tbl>
    <w:p w:rsidRPr="00000000" w:rsidR="00000000" w:rsidDel="00000000" w:rsidP="00000000" w:rsidRDefault="00000000" w14:paraId="00000015">
      <w:pPr>
        <w:spacing w:line="276" w:lineRule="auto"/>
        <w:rPr>
          <w:b w:val="1"/>
        </w:rPr>
      </w:pPr>
      <w:r w:rsidRPr="00000000" w:rsidDel="00000000" w:rsidR="00000000">
        <w:rPr>
          <w:rtl w:val="0"/>
        </w:rPr>
      </w:r>
    </w:p>
    <w:tbl>
      <w:tblPr>
        <w:tblStyle w:val="Table3"/>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line="276" w:lineRule="auto"/>
              <w:jc w:val="center"/>
              <w:rPr>
                <w:b w:val="1"/>
              </w:rPr>
            </w:pPr>
            <w:bookmarkStart w:name="_heading=h.kpcfmik2eimq" w:colFirst="0" w:colLast="0" w:id="2"/>
            <w:bookmarkEnd w:id="2"/>
            <w:r w:rsidRPr="00000000" w:rsidDel="00000000" w:rsidR="00000000">
              <w:rPr>
                <w:b w:val="1"/>
                <w:rtl w:val="0"/>
              </w:rPr>
              <w:t xml:space="preserve">ORIENTAČNÝ OBSAH (ZOZNAM TÉM, KTORÉ SA MAJÚ PREBRAŤ)</w:t>
            </w:r>
          </w:p>
          <w:p>
            <w:pPr>
              <w:spacing w:line="276" w:lineRule="auto"/>
              <w:jc w:val="center"/>
              <w:rPr>
                <w:b w:val="1"/>
              </w:rPr>
            </w:pPr>
            <w:r w:rsidRPr="00000000" w:rsidDel="00000000" w:rsidR="00000000">
              <w:rPr>
                <w:b w:val="1"/>
                <w:rtl w:val="0"/>
              </w:rPr>
              <w:t xml:space="preserve">Podrobné osnovy a anotácia obsahu</w:t>
            </w:r>
          </w:p>
        </w:tc>
      </w:tr>
      <w:tr>
        <w:trPr>
          <w:cantSplit w:val="0"/>
          <w:trHeight w:val="1328" w:hRule="atLeast"/>
          <w:tblHeader w:val="0"/>
        </w:trPr>
        <w:tc>
          <w:tcPr/>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Opis implementovaného nástroja a úlohy, ktorá sa má vykonať.</w:t>
            </w:r>
            <w:r w:rsidRPr="00000000" w:rsidDel="00000000" w:rsidR="00000000">
              <w:rPr>
                <w:rtl w:val="0"/>
              </w:rPr>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Vykonávanie úlohy účastníkmi</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Ideálne by bolo, keby sa vytvoril nejaký kruh alebo podobný priestor, kde by sa zistenia mohli vymieňať a spochybňovať.</w:t>
            </w:r>
            <w:r w:rsidRPr="00000000" w:rsidDel="00000000" w:rsidR="00000000">
              <w:rPr>
                <w:rtl w:val="0"/>
              </w:rPr>
            </w:r>
          </w:p>
        </w:tc>
      </w:tr>
    </w:tbl>
    <w:p w:rsidRPr="00000000" w:rsidR="00000000" w:rsidDel="00000000" w:rsidP="00000000" w:rsidRDefault="00000000" w14:paraId="0000001B">
      <w:pPr>
        <w:spacing w:line="276" w:lineRule="auto"/>
        <w:rPr/>
      </w:pPr>
      <w:r w:rsidRPr="00000000" w:rsidDel="00000000" w:rsidR="00000000">
        <w:rPr>
          <w:rtl w:val="0"/>
        </w:rPr>
      </w:r>
    </w:p>
    <w:tbl>
      <w:tblPr>
        <w:tblStyle w:val="Table4"/>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blHeader w:val="0"/>
        </w:trPr>
        <w:tc>
          <w:tcPr>
            <w:shd w:val="clear" w:fill="d9d9d9"/>
          </w:tcPr>
          <w:p>
            <w:pPr>
              <w:spacing w:line="276" w:lineRule="auto"/>
              <w:jc w:val="center"/>
              <w:rPr>
                <w:b w:val="1"/>
              </w:rPr>
            </w:pPr>
            <w:r w:rsidRPr="00000000" w:rsidDel="00000000" w:rsidR="00000000">
              <w:rPr>
                <w:b w:val="1"/>
                <w:rtl w:val="0"/>
              </w:rPr>
              <w:t xml:space="preserve">MOŽNÉ NÁSTROJE, METÓDY A ZDROJE</w:t>
            </w:r>
          </w:p>
        </w:tc>
      </w:tr>
    </w:tbl>
    <w:p w:rsidRPr="00000000" w:rsidR="00000000" w:rsidDel="00000000" w:rsidP="00000000" w:rsidRDefault="00000000" w14:paraId="0000001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b w:val="1"/>
        </w:rPr>
      </w:pPr>
      <w:r w:rsidRPr="00000000" w:rsidDel="00000000" w:rsid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color w:val="000000"/>
                <w:rtl w:val="0"/>
              </w:rPr>
              <w:t xml:space="preserve">1</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pPr>
            <w:r w:rsidRPr="00000000" w:rsidDel="00000000" w:rsidR="00000000">
              <w:rPr>
                <w:rtl w:val="0"/>
              </w:rPr>
              <w:t xml:space="preserve">ľubovoľný z 20 nástrojov zo súboru nástrojov (digitálna implementácia: podľa toho)</w:t>
            </w:r>
          </w:p>
        </w:tc>
      </w:tr>
      <w:tr>
        <w:trPr>
          <w:cantSplit w:val="0"/>
          <w:trHeight w:val="1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rtl w:val="0"/>
              </w:rPr>
              <w:t xml:space="preserve">2</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pPr>
            <w:r w:rsidRPr="00000000" w:rsidDel="00000000" w:rsidR="00000000">
              <w:rPr>
                <w:rtl w:val="0"/>
              </w:rPr>
              <w:t xml:space="preserve">Žiadny nástroj alebo zdroj</w:t>
            </w:r>
          </w:p>
        </w:tc>
      </w:tr>
    </w:tbl>
    <w:p w:rsidRPr="00000000" w:rsidR="00000000" w:rsidDel="00000000" w:rsidP="00000000" w:rsidRDefault="00000000" w14:paraId="00000022">
      <w:pPr>
        <w:spacing w:line="276" w:lineRule="auto"/>
        <w:rPr>
          <w:rFonts w:ascii="Cambria" w:hAnsi="Cambria" w:eastAsia="Cambria" w:cs="Cambria"/>
          <w:sz w:val="24"/>
          <w:szCs w:val="24"/>
        </w:rPr>
      </w:pPr>
      <w:r w:rsidRPr="00000000" w:rsidDel="00000000" w:rsidR="00000000">
        <w:rPr>
          <w:rtl w:val="0"/>
        </w:rPr>
      </w:r>
    </w:p>
    <w:tbl>
      <w:tblPr>
        <w:tblStyle w:val="Table6"/>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after="120" w:line="276" w:lineRule="auto"/>
              <w:jc w:val="center"/>
              <w:rPr>
                <w:b w:val="1"/>
              </w:rPr>
            </w:pPr>
            <w:r w:rsidRPr="00000000" w:rsidDel="00000000" w:rsidR="00000000">
              <w:rPr>
                <w:b w:val="1"/>
                <w:rtl w:val="0"/>
              </w:rPr>
              <w:t xml:space="preserve">PRÍKLADY OSVEDČENÝCH POSTUPOV</w:t>
            </w:r>
          </w:p>
        </w:tc>
      </w:tr>
      <w:tr>
        <w:trPr>
          <w:cantSplit w:val="0"/>
          <w:trHeight w:val="1328" w:hRule="atLeast"/>
          <w:tblHeader w:val="0"/>
        </w:trPr>
        <w:tc>
          <w:tcPr/>
          <w:p>
            <w:pPr>
              <w:spacing w:line="276" w:lineRule="auto"/>
              <w:rPr/>
            </w:pPr>
            <w:bookmarkStart w:name="_heading=h.gjdgxs" w:colFirst="0" w:colLast="0" w:id="0"/>
            <w:bookmarkEnd w:id="0"/>
            <w:r w:rsidRPr="00000000" w:rsidDel="00000000" w:rsidR="00000000">
              <w:rPr>
                <w:rtl w:val="0"/>
              </w:rPr>
              <w:t xml:space="preserve">Hostitelia považujú nástroj reverzného brainstormingu za celkom zaujímavý, ale nevedia, ako ho skombinovať s niektorým z ostatných modulov. Okrem toho ešte nemali príležitosť diskutovať o tom, ako sami vytvoriť multiplikačnú udalosť. Preto vyzvali účastníkov, aby uskutočnili brainstorming o tom, ako by multiplikačná udalosť </w:t>
            </w:r>
            <w:r w:rsidRPr="00000000" w:rsidDel="00000000" w:rsidR="00000000">
              <w:rPr>
                <w:i w:val="1"/>
                <w:rtl w:val="0"/>
              </w:rPr>
              <w:t xml:space="preserve">nemala vyzerať</w:t>
            </w:r>
            <w:r w:rsidRPr="00000000" w:rsidDel="00000000" w:rsidR="00000000">
              <w:rPr>
                <w:rtl w:val="0"/>
              </w:rPr>
              <w:t xml:space="preserve">. Vychádzajúc z výsledných nápadov potom hostitelia predstavia svoje zistenia o tom, ako by takéto podujatie mohlo mať štruktúru. To následne môže viesť k diskusii s celou skupinou o výhodách a nevýhodách navrhovaného modulárneho systému. </w:t>
            </w:r>
            <w:r w:rsidRPr="00000000" w:rsidDel="00000000" w:rsidR="00000000">
              <w:rPr>
                <w:rtl w:val="0"/>
              </w:rPr>
            </w:r>
          </w:p>
          <w:p>
            <w:pPr>
              <w:spacing w:line="276" w:lineRule="auto"/>
              <w:rPr/>
            </w:pPr>
            <w:bookmarkStart w:name="_heading=h.mwvsgmwaxu9l" w:colFirst="0" w:colLast="0" w:id="3"/>
            <w:bookmarkEnd w:id="3"/>
            <w:r w:rsidRPr="00000000" w:rsidDel="00000000" w:rsidR="00000000">
              <w:rPr>
                <w:rtl w:val="0"/>
              </w:rPr>
              <w:t xml:space="preserve">Okrem toho chcú hostitelia predstaviť inštitúciu, ktorá podujatie organizuje, a propagovať ďalšie podujatie plánované na nasledujúci mesiac. Hostitelia nenašli žiadny vhodný nástroj na tieto témy a rozhodli sa informovať účastníkov bez zahrnutia niektorého z nástrojov.</w:t>
            </w:r>
          </w:p>
          <w:p>
            <w:pPr>
              <w:spacing w:line="276" w:lineRule="auto"/>
              <w:rPr/>
            </w:pPr>
            <w:r w:rsidRPr="00000000" w:rsidDel="00000000" w:rsidR="00000000">
              <w:rPr>
                <w:rtl w:val="0"/>
              </w:rPr>
              <w:t xml:space="preserve">Odhadovaný čas pre tento modul sa môže pohybovať od 30 do 90 minút.</w:t>
            </w:r>
          </w:p>
        </w:tc>
      </w:tr>
    </w:tbl>
    <w:p w:rsidRPr="00000000" w:rsidR="00000000" w:rsidDel="00000000" w:rsidP="00000000" w:rsidRDefault="00000000" w14:paraId="00000027">
      <w:pPr>
        <w:spacing w:line="276" w:lineRule="auto"/>
        <w:rPr/>
      </w:pPr>
      <w:r w:rsidRPr="00000000" w:rsidDel="00000000" w:rsidR="00000000">
        <w:rPr>
          <w:rtl w:val="0"/>
        </w:rPr>
      </w:r>
    </w:p>
    <w:p w:rsidRPr="00000000" w:rsidR="00000000" w:rsidDel="00000000" w:rsidP="00000000" w:rsidRDefault="00000000" w14:paraId="00000028">
      <w:pPr>
        <w:spacing w:line="276" w:lineRule="auto"/>
        <w:rPr/>
      </w:pPr>
      <w:r w:rsidRPr="00000000" w:rsidDel="00000000" w:rsidR="00000000">
        <w:rPr>
          <w:rtl w:val="0"/>
        </w:rPr>
      </w:r>
    </w:p>
    <w:p w:rsidRPr="00000000" w:rsidR="00000000" w:rsidDel="00000000" w:rsidP="00000000" w:rsidRDefault="00000000" w14:paraId="00000029">
      <w:pPr>
        <w:spacing w:line="276" w:lineRule="auto"/>
        <w:rPr/>
      </w:pPr>
      <w:r w:rsidRPr="00000000" w:rsidDel="00000000" w:rsidR="00000000">
        <w:rPr>
          <w:rtl w:val="0"/>
        </w:rPr>
      </w:r>
    </w:p>
    <w:p w:rsidRPr="00000000" w:rsidR="00000000" w:rsidDel="00000000" w:rsidP="00000000" w:rsidRDefault="00000000" w14:paraId="0000002A">
      <w:pPr>
        <w:spacing w:line="276" w:lineRule="auto"/>
        <w:rPr/>
      </w:pPr>
      <w:r w:rsidRPr="00000000" w:rsidDel="00000000" w:rsidR="00000000">
        <w:rPr>
          <w:rtl w:val="0"/>
        </w:rPr>
      </w:r>
    </w:p>
    <w:p w:rsidRPr="00000000" w:rsidR="00000000" w:rsidDel="00000000" w:rsidP="00000000" w:rsidRDefault="00000000" w14:paraId="0000002B">
      <w:pPr>
        <w:spacing w:line="276" w:lineRule="auto"/>
        <w:rPr/>
      </w:pPr>
      <w:r w:rsidRPr="00000000" w:rsidDel="00000000" w:rsidR="00000000">
        <w:rPr>
          <w:rtl w:val="0"/>
        </w:rPr>
      </w:r>
    </w:p>
    <w:p w:rsidRPr="00000000" w:rsidR="00000000" w:rsidDel="00000000" w:rsidP="00000000" w:rsidRDefault="00000000" w14:paraId="0000002C">
      <w:pPr>
        <w:spacing w:line="276" w:lineRule="auto"/>
        <w:rPr/>
      </w:pPr>
      <w:r w:rsidRPr="00000000" w:rsidDel="00000000" w:rsidR="00000000">
        <w:rPr>
          <w:rtl w:val="0"/>
        </w:rPr>
      </w:r>
    </w:p>
    <w:p w:rsidRPr="00000000" w:rsidR="00000000" w:rsidDel="00000000" w:rsidP="00000000" w:rsidRDefault="00000000" w14:paraId="0000002D">
      <w:pPr>
        <w:spacing w:line="276" w:lineRule="auto"/>
        <w:rPr/>
      </w:pPr>
      <w:r w:rsidRPr="00000000" w:rsidDel="00000000" w:rsidR="00000000">
        <w:rPr>
          <w:rtl w:val="0"/>
        </w:rPr>
      </w:r>
    </w:p>
    <w:p w:rsidRPr="00000000" w:rsidR="00000000" w:rsidDel="00000000" w:rsidP="00000000" w:rsidRDefault="00000000" w14:paraId="0000002E">
      <w:pPr>
        <w:spacing w:line="276" w:lineRule="auto"/>
        <w:rPr/>
      </w:pPr>
      <w:r w:rsidRPr="00000000" w:rsidDel="00000000" w:rsidR="00000000">
        <w:rPr>
          <w:rtl w:val="0"/>
        </w:rPr>
      </w:r>
    </w:p>
    <w:p w:rsidRPr="00000000" w:rsidR="00000000" w:rsidDel="00000000" w:rsidP="00000000" w:rsidRDefault="00000000" w14:paraId="0000002F">
      <w:pPr>
        <w:spacing w:line="276" w:lineRule="auto"/>
        <w:rPr/>
      </w:pPr>
      <w:r w:rsidRPr="00000000" w:rsidDel="00000000" w:rsidR="00000000">
        <w:rPr>
          <w:rtl w:val="0"/>
        </w:rPr>
      </w:r>
    </w:p>
    <w:p w:rsidRPr="00000000" w:rsidR="00000000" w:rsidDel="00000000" w:rsidP="00000000" w:rsidRDefault="00000000" w14:paraId="00000030">
      <w:pPr>
        <w:spacing w:line="276" w:lineRule="auto"/>
        <w:rPr/>
      </w:pPr>
      <w:r w:rsidRPr="00000000" w:rsidDel="00000000" w:rsidR="00000000">
        <w:rPr>
          <w:rtl w:val="0"/>
        </w:rPr>
      </w:r>
    </w:p>
    <w:p w:rsidRPr="00000000" w:rsidR="00000000" w:rsidDel="00000000" w:rsidP="00000000" w:rsidRDefault="00000000" w14:paraId="00000031">
      <w:pPr>
        <w:spacing w:line="276" w:lineRule="auto"/>
        <w:rPr/>
      </w:pPr>
      <w:r w:rsidRPr="00000000" w:rsidDel="00000000" w:rsidR="00000000">
        <w:rPr>
          <w:rtl w:val="0"/>
        </w:rPr>
      </w:r>
    </w:p>
    <w:p w:rsidRPr="00000000" w:rsidR="00000000" w:rsidDel="00000000" w:rsidP="00000000" w:rsidRDefault="00000000" w14:paraId="00000032">
      <w:pPr>
        <w:spacing w:line="276" w:lineRule="auto"/>
        <w:rPr/>
      </w:pPr>
      <w:r w:rsidRPr="00000000" w:rsidDel="00000000" w:rsidR="00000000">
        <w:rPr>
          <w:rtl w:val="0"/>
        </w:rPr>
      </w:r>
    </w:p>
    <w:p w:rsidRPr="00000000" w:rsidR="00000000" w:rsidDel="00000000" w:rsidP="00000000" w:rsidRDefault="00000000" w14:paraId="00000033">
      <w:pPr>
        <w:spacing w:line="276" w:lineRule="auto"/>
        <w:rPr/>
      </w:pPr>
      <w:r w:rsidRPr="00000000" w:rsidDel="00000000" w:rsidR="00000000">
        <w:rPr>
          <w:rtl w:val="0"/>
        </w:rPr>
      </w:r>
    </w:p>
    <w:p w:rsidRPr="00000000" w:rsidR="00000000" w:rsidDel="00000000" w:rsidP="00000000" w:rsidRDefault="00000000" w14:paraId="00000034">
      <w:pPr>
        <w:spacing w:line="276" w:lineRule="auto"/>
        <w:rPr/>
      </w:pPr>
      <w:r w:rsidRPr="00000000" w:rsidDel="00000000" w:rsidR="00000000">
        <w:rPr>
          <w:rtl w:val="0"/>
        </w:rPr>
      </w:r>
    </w:p>
    <w:p w:rsidRPr="00000000" w:rsidR="00000000" w:rsidDel="00000000" w:rsidP="00000000" w:rsidRDefault="00000000" w14:paraId="00000035">
      <w:pPr>
        <w:spacing w:line="276" w:lineRule="auto"/>
        <w:rPr/>
      </w:pPr>
      <w:r w:rsidRPr="00000000" w:rsidDel="00000000" w:rsidR="00000000">
        <w:rPr>
          <w:rtl w:val="0"/>
        </w:rPr>
      </w:r>
    </w:p>
    <w:p w:rsidRPr="00000000" w:rsidR="00000000" w:rsidDel="00000000" w:rsidP="00000000" w:rsidRDefault="00000000" w14:paraId="00000036">
      <w:pPr>
        <w:spacing w:line="276" w:lineRule="auto"/>
        <w:rPr/>
      </w:pPr>
      <w:r w:rsidRPr="00000000" w:rsidDel="00000000" w:rsidR="00000000">
        <w:rPr>
          <w:rtl w:val="0"/>
        </w:rPr>
      </w:r>
    </w:p>
    <w:sectPr>
      <w:headerReference w:type="default" r:id="rId7"/>
      <w:headerReference w:type="first" r:id="rId8"/>
      <w:headerReference w:type="even" r:id="rId9"/>
      <w:footerReference w:type="default" r:id="rId10"/>
      <w:footerReference w:type="first" r:id="rId11"/>
      <w:footerReference w:type="even" r:id="rId12"/>
      <w:pgSz w:w="11906" w:h="16838" w:orient="portrait"/>
      <w:pgMar w:top="1440" w:right="1440" w:bottom="1440" w:lef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A">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B">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C">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7">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tabs>
        <w:tab w:val="center" w:leader="none" w:pos="4513"/>
        <w:tab w:val="right" w:leader="none" w:pos="9026"/>
      </w:tabs>
      <w:spacing w:after="0" w:lineRule="auto"/>
      <w:jc w:val="center"/>
      <w:rPr>
        <w:b w:val="1"/>
        <w:color w:val="1f497d"/>
        <w:sz w:val="28"/>
        <w:szCs w:val="28"/>
      </w:rPr>
    </w:pPr>
    <w:r w:rsidRPr="00000000" w:rsidDel="00000000" w:rsidR="00000000">
      <w:rPr>
        <w:b w:val="1"/>
        <w:color w:val="1f497d"/>
        <w:sz w:val="28"/>
        <w:szCs w:val="28"/>
        <w:vertAlign w:val="baseline"/>
        <w:rtl w:val="0"/>
      </w:rPr>
      <w:t xml:space="preserve">Zmiešané multilógy: posilnenie transformácie a inovácie vo vysokoškolskom vzdelávaní</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-908049</wp:posOffset>
          </wp:positionH>
          <wp:positionV relativeFrom="paragraph">
            <wp:posOffset>-354329</wp:posOffset>
          </wp:positionV>
          <wp:extent cx="1720850" cy="490855"/>
          <wp:effectExtent l="0" t="0" r="0" b="0"/>
          <wp:wrapSquare wrapText="bothSides" distT="0" distB="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720850" cy="49085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5638800</wp:posOffset>
          </wp:positionH>
          <wp:positionV relativeFrom="paragraph">
            <wp:posOffset>-411479</wp:posOffset>
          </wp:positionV>
          <wp:extent cx="885600" cy="885600"/>
          <wp:effectExtent l="0" t="0" r="0" b="0"/>
          <wp:wrapSquare wrapText="bothSides" distT="0" distB="0" distL="114300" distR="114300"/>
          <wp:docPr id="5"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9">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hAnsi="Calibri" w:eastAsia="Calibri" w:cs="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after="60" w:lineRule="auto"/>
      <w:jc w:val="left"/>
    </w:pPr>
    <w:rPr>
      <w:b w:val="1"/>
      <w:sz w:val="24"/>
      <w:szCs w:val="24"/>
    </w:rPr>
  </w:style>
  <w:style w:type="paragraph" w:styleId="Heading2">
    <w:name w:val="heading 2"/>
    <w:basedOn w:val="Normal"/>
    <w:next w:val="Normal"/>
    <w:pPr>
      <w:spacing w:before="240" w:after="8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before="240" w:after="0" w:lineRule="auto"/>
      <w:jc w:val="left"/>
    </w:pPr>
    <w:rPr>
      <w:smallCaps w:val="1"/>
      <w:sz w:val="22"/>
      <w:szCs w:val="22"/>
    </w:rPr>
  </w:style>
  <w:style w:type="paragraph" w:styleId="Heading5">
    <w:name w:val="heading 5"/>
    <w:basedOn w:val="Normal"/>
    <w:next w:val="Normal"/>
    <w:pPr>
      <w:spacing w:before="200" w:after="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val="single" w:color="ccaf0a" w:sz="12" w:space="1"/>
      </w:pBdr>
      <w:spacing w:after="60" w:lineRule="auto"/>
      <w:jc w:val="left"/>
    </w:pPr>
    <w:rPr>
      <w:rFonts w:ascii="Quattrocento Sans" w:hAnsi="Quattrocento Sans" w:eastAsia="Quattrocento Sans" w:cs="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before="240" w:after="60"/>
      <w:jc w:val="left"/>
      <w:outlineLvl w:val="0"/>
    </w:pPr>
    <w:rPr>
      <w:b w:val="1"/>
      <w:sz w:val="24"/>
      <w:szCs w:val="24"/>
    </w:rPr>
  </w:style>
  <w:style w:type="paragraph" w:styleId="berschrift2">
    <w:name w:val="heading 2"/>
    <w:basedOn w:val="Standard"/>
    <w:next w:val="Standard"/>
    <w:uiPriority w:val="9"/>
    <w:semiHidden w:val="1"/>
    <w:unhideWhenUsed w:val="1"/>
    <w:qFormat w:val="1"/>
    <w:pPr>
      <w:spacing w:before="240" w:after="8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before="240" w:after="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before="200" w:after="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val="single" w:color="ccaf0a" w:sz="12" w:space="1"/>
      </w:pBdr>
      <w:spacing w:after="60"/>
      <w:jc w:val="left"/>
    </w:pPr>
    <w:rPr>
      <w:rFonts w:ascii="Quattrocento Sans" w:hAnsi="Quattrocento Sans" w:eastAsia="Quattrocento Sans" w:cs="Quattrocento Sans"/>
      <w:sz w:val="36"/>
      <w:szCs w:val="36"/>
    </w:rPr>
  </w:style>
  <w:style w:type="paragraph" w:styleId="Untertitel">
    <w:name w:val="Subtitle"/>
    <w:basedOn w:val="Standard"/>
    <w:next w:val="Standard"/>
    <w:uiPriority w:val="11"/>
    <w:qFormat w:val="1"/>
    <w:pPr>
      <w:spacing w:after="240"/>
      <w:jc w:val="left"/>
    </w:pPr>
    <w:rPr>
      <w:rFonts w:ascii="Quattrocento Sans" w:hAnsi="Quattrocento Sans" w:eastAsia="Quattrocento Sans" w:cs="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hAnsi="Segoe UI" w:cs="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before="100" w:beforeAutospacing="1" w:after="100" w:afterAutospacing="1"/>
      <w:jc w:val="left"/>
    </w:pPr>
    <w:rPr>
      <w:rFonts w:ascii="Times New Roman" w:hAnsi="Times New Roman" w:eastAsia="Times New Roman" w:cs="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hAnsiTheme="minorHAnsi" w:eastAsiaTheme="minorHAnsi" w:cstheme="minorBid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val="clear" w:color="auto" w:fill="e1dfdd"/>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hAnsi="Quattrocento Sans" w:eastAsia="Quattrocento Sans" w:cs="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4FvbqrwX2UiLHWkTmEfExGljw==">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2024-07-18T16:16:00.0000000Z</dcterms:created>
  <keywords>, docId:AF259484A1C5013DB1D112F317F6B034</keywords>
</coreProperties>
</file>