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widowControl w:val="0"/>
        <w:spacing w:after="0" w:line="276" w:lineRule="auto"/>
        <w:jc w:val="left"/>
        <w:rPr>
          <w:rFonts w:ascii="Arial" w:hAnsi="Arial" w:eastAsia="Arial" w:cs="Arial"/>
          <w:b w:val="1"/>
          <w:sz w:val="22"/>
          <w:szCs w:val="22"/>
        </w:rPr>
      </w:pPr>
      <w:bookmarkStart w:name="_heading=h.gjdgxs" w:colFirst="0" w:colLast="0" w:id="0"/>
      <w:bookmarkEnd w:id="0"/>
      <w:r w:rsidRPr="00000000" w:rsidDel="00000000" w:rsidR="00000000">
        <w:rPr>
          <w:rtl w:val="0"/>
        </w:rPr>
      </w:r>
    </w:p>
    <w:tbl>
      <w:tblPr>
        <w:tblStyle w:val="Table1"/>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370"/>
        <w:gridCol w:w="6839"/>
        <w:tblGridChange w:id="0">
          <w:tblGrid>
            <w:gridCol w:w="2370"/>
            <w:gridCol w:w="6839"/>
          </w:tblGrid>
        </w:tblGridChange>
      </w:tblGrid>
      <w:tr>
        <w:trPr>
          <w:cantSplit w:val="0"/>
          <w:tblHeader w:val="0"/>
        </w:trPr>
        <w:tc>
          <w:tcPr>
            <w:gridSpan w:val="2"/>
            <w:shd w:val="clear" w:fill="cbcdd1"/>
          </w:tcPr>
          <w:p>
            <w:pPr>
              <w:spacing w:line="276" w:lineRule="auto"/>
              <w:jc w:val="center"/>
              <w:rPr>
                <w:b w:val="1"/>
              </w:rPr>
            </w:pPr>
            <w:r w:rsidRPr="00000000" w:rsidDel="00000000" w:rsidR="00000000">
              <w:rPr>
                <w:b w:val="1"/>
                <w:rtl w:val="0"/>
              </w:rPr>
              <w:t xml:space="preserve">PODROBNOSTI O MODULE</w:t>
            </w:r>
          </w:p>
        </w:tc>
      </w:tr>
      <w:tr>
        <w:trPr>
          <w:cantSplit w:val="0"/>
          <w:trHeight w:val="260" w:hRule="atLeast"/>
          <w:tblHeader w:val="0"/>
        </w:trPr>
        <w:tc>
          <w:tcPr>
            <w:shd w:val="clear" w:fill="b8cce4"/>
          </w:tcPr>
          <w:p>
            <w:pPr>
              <w:spacing w:line="276" w:lineRule="auto"/>
              <w:rPr/>
            </w:pPr>
            <w:r w:rsidRPr="00000000" w:rsidDel="00000000" w:rsidR="00000000">
              <w:rPr>
                <w:rtl w:val="0"/>
              </w:rPr>
              <w:t xml:space="preserve">Názov modulu</w:t>
            </w:r>
          </w:p>
        </w:tc>
        <w:tc>
          <w:tcPr>
            <w:shd w:val="clear" w:fill="b8cce4"/>
          </w:tcPr>
          <w:p>
            <w:pPr>
              <w:spacing w:line="276" w:lineRule="auto"/>
              <w:rPr/>
            </w:pPr>
            <w:r w:rsidRPr="00000000" w:rsidDel="00000000" w:rsidR="00000000">
              <w:rPr>
                <w:rtl w:val="0"/>
              </w:rPr>
              <w:t xml:space="preserve">Čo je to viacdielny dialóg?</w:t>
            </w:r>
          </w:p>
        </w:tc>
      </w:tr>
      <w:tr>
        <w:trPr>
          <w:cantSplit w:val="0"/>
          <w:trHeight w:val="4360" w:hRule="atLeast"/>
          <w:tblHeader w:val="0"/>
        </w:trPr>
        <w:tc>
          <w:tcPr>
            <w:shd w:val="clear" w:fill="cbcdd1"/>
          </w:tcPr>
          <w:p>
            <w:pPr>
              <w:spacing w:line="276" w:lineRule="auto"/>
              <w:rPr/>
            </w:pPr>
            <w:r w:rsidRPr="00000000" w:rsidDel="00000000" w:rsidR="00000000">
              <w:rPr>
                <w:rtl w:val="0"/>
              </w:rPr>
              <w:t xml:space="preserve">Opis modulu</w:t>
            </w:r>
          </w:p>
        </w:tc>
        <w:tc>
          <w:tcPr/>
          <w:p>
            <w:pPr>
              <w:spacing w:after="160" w:line="276" w:lineRule="auto"/>
              <w:rPr/>
            </w:pPr>
            <w:bookmarkStart w:name="_heading=h.1fob9te" w:colFirst="0" w:colLast="0" w:id="1"/>
            <w:bookmarkEnd w:id="1"/>
            <w:r w:rsidRPr="00000000" w:rsidDel="00000000" w:rsidR="00000000">
              <w:rPr>
                <w:rtl w:val="0"/>
              </w:rPr>
              <w:t xml:space="preserve">Neexistuje </w:t>
            </w:r>
            <w:r w:rsidRPr="00000000" w:rsidDel="00000000" w:rsidR="00000000">
              <w:rPr>
                <w:i w:val="1"/>
                <w:rtl w:val="0"/>
              </w:rPr>
              <w:t xml:space="preserve">jediná </w:t>
            </w:r>
            <w:r w:rsidRPr="00000000" w:rsidDel="00000000" w:rsidR="00000000">
              <w:rPr>
                <w:rtl w:val="0"/>
              </w:rPr>
              <w:t xml:space="preserve">definícia toho, čo je multilog. Predtým, ako hostitelia odpovedia na otázku zo svojho pohľadu, by bolo vhodné položiť otázku, čo je to multilog, najprv publiku. Možno to urobiť pomocou rôznych nástrojov, ktoré by (okrem kritického myslenia účastníkov a samotného obsahu) nepriamo tvorili súčasť odpovede. Nakoniec je dôležité spojiť rôzne perspektívy školiteľov, aby si mohli vymeniť svoje názory a skúsenosti. To opäť predstavuje súčasť samotného multilogu.</w:t>
            </w:r>
          </w:p>
          <w:p>
            <w:pPr>
              <w:spacing w:after="160" w:line="276" w:lineRule="auto"/>
              <w:rPr/>
            </w:pPr>
            <w:r w:rsidRPr="00000000" w:rsidDel="00000000" w:rsidR="00000000">
              <w:rPr>
                <w:rtl w:val="0"/>
              </w:rPr>
              <w:t xml:space="preserve">Túto časť by sme mohli aj obrátiť, a to tak, že najprv uvedieme definíciu hostiteľov a potom požiadame o definíciu účastníkov. To by však mohlo narušiť pôvodné myslenie. </w:t>
            </w:r>
          </w:p>
          <w:p>
            <w:pPr>
              <w:spacing w:after="160" w:line="276" w:lineRule="auto"/>
              <w:rPr/>
            </w:pPr>
            <w:r w:rsidRPr="00000000" w:rsidDel="00000000" w:rsidR="00000000">
              <w:rPr>
                <w:rtl w:val="0"/>
              </w:rPr>
              <w:t xml:space="preserve">Ďalšou možnosťou by bolo, keby sa táto téma stala súčasťou samostatného modulu, ktorý by sa viac zameriaval na predstavenie nástroja. Mohla by to byť napríklad jedna stanica svetovej kaviarne. Tým by otázka, čo je to multilog, stratila na význame. Použité nástroje by mali byť prístupné pre všetky </w:t>
            </w:r>
            <w:r w:rsidRPr="00000000" w:rsidDel="00000000" w:rsidR="00000000">
              <w:rPr>
                <w:rtl w:val="0"/>
              </w:rPr>
              <w:t xml:space="preserve">oblasti </w:t>
            </w:r>
            <w:r w:rsidRPr="00000000" w:rsidDel="00000000" w:rsidR="00000000">
              <w:rPr>
                <w:rtl w:val="0"/>
              </w:rPr>
              <w:t xml:space="preserve">pripravenosti</w:t>
            </w:r>
            <w:r w:rsidRPr="00000000" w:rsidDel="00000000" w:rsidR="00000000">
              <w:rPr>
                <w:rtl w:val="0"/>
              </w:rPr>
              <w:t xml:space="preserve">, alebo by mal byť pre každú z nich vytvorený samostatný nástroj. </w:t>
            </w:r>
          </w:p>
        </w:tc>
      </w:tr>
    </w:tbl>
    <w:p w:rsidRPr="00000000" w:rsidR="00000000" w:rsidDel="00000000" w:rsidP="00000000" w:rsidRDefault="00000000" w14:paraId="0000000A">
      <w:pPr>
        <w:spacing w:line="276" w:lineRule="auto"/>
        <w:rPr/>
      </w:pPr>
      <w:r w:rsidRPr="00000000" w:rsidDel="00000000" w:rsidR="00000000">
        <w:rPr>
          <w:rtl w:val="0"/>
        </w:rPr>
      </w:r>
    </w:p>
    <w:tbl>
      <w:tblPr>
        <w:tblStyle w:val="Table2"/>
        <w:tblW w:w="9242.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384"/>
        <w:gridCol w:w="7858"/>
        <w:tblGridChange w:id="0">
          <w:tblGrid>
            <w:gridCol w:w="1384"/>
            <w:gridCol w:w="7858"/>
          </w:tblGrid>
        </w:tblGridChange>
      </w:tblGrid>
      <w:tr>
        <w:trPr>
          <w:cantSplit w:val="0"/>
          <w:tblHeader w:val="0"/>
        </w:trPr>
        <w:tc>
          <w:tcPr>
            <w:gridSpan w:val="2"/>
            <w:shd w:val="clear" w:fill="cbcdd1"/>
          </w:tcPr>
          <w:p>
            <w:pPr>
              <w:spacing w:line="276" w:lineRule="auto"/>
              <w:jc w:val="center"/>
              <w:rPr>
                <w:b w:val="1"/>
              </w:rPr>
            </w:pPr>
            <w:r w:rsidRPr="00000000" w:rsidDel="00000000" w:rsidR="00000000">
              <w:rPr>
                <w:b w:val="1"/>
                <w:rtl w:val="0"/>
              </w:rPr>
              <w:t xml:space="preserve">VÝSLEDKY UČENIA SA V MODULE (vedomosti a zručnosti)</w:t>
            </w:r>
          </w:p>
        </w:tc>
      </w:tr>
      <w:tr>
        <w:trPr>
          <w:cantSplit w:val="0"/>
          <w:tblHeader w:val="0"/>
        </w:trPr>
        <w:tc>
          <w:tcPr>
            <w:gridSpan w:val="2"/>
            <w:shd w:val="clear" w:fill="cbcdd1"/>
          </w:tcPr>
          <w:p>
            <w:pPr>
              <w:spacing w:line="276" w:lineRule="auto"/>
              <w:jc w:val="left"/>
              <w:rPr>
                <w:b w:val="1"/>
              </w:rPr>
            </w:pPr>
            <w:r w:rsidRPr="00000000" w:rsidDel="00000000" w:rsidR="00000000">
              <w:rPr>
                <w:b w:val="1"/>
                <w:rtl w:val="0"/>
              </w:rPr>
              <w:t xml:space="preserve">Po úspešnom absolvovaní tohto modulu bude pedagóg:</w:t>
            </w:r>
          </w:p>
        </w:tc>
      </w:tr>
      <w:tr>
        <w:trPr>
          <w:cantSplit w:val="0"/>
          <w:tblHeader w:val="0"/>
        </w:trPr>
        <w:tc>
          <w:tcPr/>
          <w:p>
            <w:pPr>
              <w:spacing w:line="276" w:lineRule="auto"/>
              <w:rPr/>
            </w:pPr>
            <w:r w:rsidRPr="00000000" w:rsidDel="00000000" w:rsidR="00000000">
              <w:rPr>
                <w:rtl w:val="0"/>
              </w:rPr>
              <w:t xml:space="preserve">LO1</w:t>
            </w:r>
          </w:p>
        </w:tc>
        <w:tc>
          <w:tcPr/>
          <w:p>
            <w:pPr>
              <w:widowControl w:val="0"/>
              <w:spacing w:after="240" w:line="276" w:lineRule="auto"/>
              <w:jc w:val="left"/>
              <w:rPr/>
            </w:pPr>
            <w:r w:rsidRPr="00000000" w:rsidDel="00000000" w:rsidR="00000000">
              <w:rPr>
                <w:rtl w:val="0"/>
              </w:rPr>
              <w:t xml:space="preserve">byť citlivý na komplikácie, obmedzenia a výzvy spojené s multilingválnym dialógom.</w:t>
            </w:r>
          </w:p>
        </w:tc>
      </w:tr>
      <w:tr>
        <w:trPr>
          <w:cantSplit w:val="0"/>
          <w:tblHeader w:val="0"/>
        </w:trPr>
        <w:tc>
          <w:tcPr/>
          <w:p>
            <w:pPr>
              <w:spacing w:line="276" w:lineRule="auto"/>
              <w:rPr/>
            </w:pPr>
            <w:r w:rsidRPr="00000000" w:rsidDel="00000000" w:rsidR="00000000">
              <w:rPr>
                <w:rtl w:val="0"/>
              </w:rPr>
              <w:t xml:space="preserve">LO2</w:t>
            </w:r>
          </w:p>
        </w:tc>
        <w:tc>
          <w:tcPr/>
          <w:p>
            <w:pPr>
              <w:widowControl w:val="0"/>
              <w:spacing w:after="240" w:line="276" w:lineRule="auto"/>
              <w:jc w:val="left"/>
              <w:rPr/>
            </w:pPr>
            <w:r w:rsidRPr="00000000" w:rsidDel="00000000" w:rsidR="00000000">
              <w:rPr>
                <w:rtl w:val="0"/>
              </w:rPr>
              <w:t xml:space="preserve">našli predbežnú definíciu multilogu, ktorú môže pedagóg použiť na spochybnenie iných perspektív, napríklad perspektívy hostiteľov.</w:t>
            </w:r>
          </w:p>
        </w:tc>
      </w:tr>
      <w:tr>
        <w:trPr>
          <w:cantSplit w:val="0"/>
          <w:tblHeader w:val="0"/>
        </w:trPr>
        <w:tc>
          <w:tcPr/>
          <w:p>
            <w:pPr>
              <w:spacing w:line="276" w:lineRule="auto"/>
              <w:rPr/>
            </w:pPr>
            <w:r w:rsidRPr="00000000" w:rsidDel="00000000" w:rsidR="00000000">
              <w:rPr>
                <w:rtl w:val="0"/>
              </w:rPr>
              <w:t xml:space="preserve">LO3</w:t>
            </w:r>
          </w:p>
        </w:tc>
        <w:tc>
          <w:tcPr/>
          <w:p>
            <w:pPr>
              <w:spacing w:after="240" w:line="276" w:lineRule="auto"/>
              <w:rPr/>
            </w:pPr>
            <w:r w:rsidRPr="00000000" w:rsidDel="00000000" w:rsidR="00000000">
              <w:rPr>
                <w:rtl w:val="0"/>
              </w:rPr>
              <w:t xml:space="preserve">použili kritické myslenie a stretli sa s ďalším nástrojom zo súpravy nástrojov. </w:t>
            </w:r>
          </w:p>
        </w:tc>
      </w:tr>
      <w:tr>
        <w:trPr>
          <w:cantSplit w:val="0"/>
          <w:tblHeader w:val="0"/>
        </w:trPr>
        <w:tc>
          <w:tcPr/>
          <w:p>
            <w:pPr>
              <w:spacing w:line="276" w:lineRule="auto"/>
              <w:rPr/>
            </w:pPr>
            <w:r w:rsidRPr="00000000" w:rsidDel="00000000" w:rsidR="00000000">
              <w:rPr>
                <w:rtl w:val="0"/>
              </w:rPr>
              <w:t xml:space="preserve">LO4</w:t>
            </w:r>
          </w:p>
        </w:tc>
        <w:tc>
          <w:tcPr/>
          <w:p>
            <w:pPr>
              <w:widowControl w:val="0"/>
              <w:spacing w:after="240" w:line="276" w:lineRule="auto"/>
              <w:jc w:val="left"/>
              <w:rPr/>
            </w:pPr>
            <w:r w:rsidRPr="00000000" w:rsidDel="00000000" w:rsidR="00000000">
              <w:rPr>
                <w:rtl w:val="0"/>
              </w:rPr>
              <w:t xml:space="preserve">získali ešte viac tímového ducha. </w:t>
            </w:r>
          </w:p>
        </w:tc>
      </w:tr>
      <w:tr>
        <w:trPr>
          <w:cantSplit w:val="0"/>
          <w:tblHeader w:val="0"/>
        </w:trPr>
        <w:tc>
          <w:tcPr/>
          <w:p>
            <w:pPr>
              <w:spacing w:line="276" w:lineRule="auto"/>
              <w:rPr/>
            </w:pPr>
            <w:r w:rsidRPr="00000000" w:rsidDel="00000000" w:rsidR="00000000">
              <w:rPr>
                <w:rtl w:val="0"/>
              </w:rPr>
              <w:t xml:space="preserve">L05</w:t>
            </w:r>
          </w:p>
        </w:tc>
        <w:tc>
          <w:tcPr/>
          <w:p>
            <w:pPr>
              <w:widowControl w:val="0"/>
              <w:spacing w:after="240" w:line="276" w:lineRule="auto"/>
              <w:jc w:val="left"/>
              <w:rPr/>
            </w:pPr>
            <w:r w:rsidRPr="00000000" w:rsidDel="00000000" w:rsidR="00000000">
              <w:rPr>
                <w:rtl w:val="0"/>
              </w:rPr>
              <w:t xml:space="preserve">sa zaoberali rôznymi pohľadmi na túto tému. </w:t>
            </w:r>
          </w:p>
        </w:tc>
      </w:tr>
    </w:tbl>
    <w:p w:rsidRPr="00000000" w:rsidR="00000000" w:rsidDel="00000000" w:rsidP="00000000" w:rsidRDefault="00000000" w14:paraId="00000019">
      <w:pPr>
        <w:spacing w:line="276" w:lineRule="auto"/>
        <w:rPr>
          <w:b w:val="1"/>
        </w:rPr>
      </w:pPr>
      <w:r w:rsidRPr="00000000" w:rsidDel="00000000" w:rsidR="00000000">
        <w:rPr>
          <w:rtl w:val="0"/>
        </w:rPr>
      </w:r>
    </w:p>
    <w:tbl>
      <w:tblPr>
        <w:tblStyle w:val="Table3"/>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rHeight w:val="590" w:hRule="atLeast"/>
          <w:tblHeader w:val="0"/>
        </w:trPr>
        <w:tc>
          <w:tcPr>
            <w:shd w:val="clear" w:fill="cbcdd1"/>
          </w:tcPr>
          <w:p>
            <w:pPr>
              <w:spacing w:line="276" w:lineRule="auto"/>
              <w:jc w:val="center"/>
              <w:rPr>
                <w:b w:val="1"/>
              </w:rPr>
            </w:pPr>
            <w:bookmarkStart w:name="_heading=h.kpcfmik2eimq" w:colFirst="0" w:colLast="0" w:id="2"/>
            <w:bookmarkEnd w:id="2"/>
            <w:r w:rsidRPr="00000000" w:rsidDel="00000000" w:rsidR="00000000">
              <w:rPr>
                <w:b w:val="1"/>
                <w:rtl w:val="0"/>
              </w:rPr>
              <w:t xml:space="preserve">ORIENTAČNÝ OBSAH (ZOZNAM TÉM, KTORÉ SA MAJÚ POKRYŤ)</w:t>
            </w:r>
          </w:p>
          <w:p>
            <w:pPr>
              <w:spacing w:line="276" w:lineRule="auto"/>
              <w:jc w:val="center"/>
              <w:rPr>
                <w:b w:val="1"/>
              </w:rPr>
            </w:pPr>
            <w:r w:rsidRPr="00000000" w:rsidDel="00000000" w:rsidR="00000000">
              <w:rPr>
                <w:b w:val="1"/>
                <w:rtl w:val="0"/>
              </w:rPr>
              <w:t xml:space="preserve">Podrobné osnovy a anotácie obsahu</w:t>
            </w:r>
          </w:p>
        </w:tc>
      </w:tr>
      <w:tr>
        <w:trPr>
          <w:cantSplit w:val="0"/>
          <w:trHeight w:val="935.0000000000006" w:hRule="atLeast"/>
          <w:tblHeader w:val="0"/>
        </w:trPr>
        <w:tc>
          <w:tcPr/>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Položenie otázky a opis implementovaného nástroja (nástrojov)</w:t>
            </w:r>
            <w:r w:rsidRPr="00000000" w:rsidDel="00000000" w:rsidR="00000000">
              <w:rPr>
                <w:rtl w:val="0"/>
              </w:rPr>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Vykonávanie úlohy účastníkmi</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276" w:lineRule="auto"/>
              <w:ind w:start="720" w:end="0" w:hanging="360"/>
              <w:jc w:val="left"/>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V ideálnom prípade </w:t>
            </w:r>
            <w:r w:rsidRPr="00000000" w:rsidDel="00000000" w:rsidR="00000000">
              <w:rPr>
                <w:rtl w:val="0"/>
              </w:rPr>
              <w:t xml:space="preserve">diskusia</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v rámci ktorej sa možno podeliť o zistenia a spochybniť ich</w:t>
            </w:r>
            <w:r w:rsidRPr="00000000" w:rsidDel="00000000" w:rsidR="00000000">
              <w:rPr>
                <w:rFonts w:ascii="Cambria" w:hAnsi="Cambria" w:eastAsia="Cambria" w:cs="Cambria"/>
                <w:b w:val="0"/>
                <w:i w:val="0"/>
                <w:smallCaps w:val="0"/>
                <w:strike w:val="0"/>
                <w:color w:val="000000"/>
                <w:sz w:val="22"/>
                <w:szCs w:val="22"/>
                <w:u w:val="none"/>
                <w:shd w:val="clear" w:fill="auto"/>
                <w:vertAlign w:val="baseline"/>
                <w:rtl w:val="0"/>
              </w:rPr>
              <w:t xml:space="preserve">. </w:t>
            </w:r>
          </w:p>
        </w:tc>
      </w:tr>
    </w:tbl>
    <w:p w:rsidRPr="00000000" w:rsidR="00000000" w:rsidDel="00000000" w:rsidP="00000000" w:rsidRDefault="00000000" w14:paraId="0000001F">
      <w:pPr>
        <w:spacing w:line="276" w:lineRule="auto"/>
        <w:rPr/>
      </w:pPr>
      <w:r w:rsidRPr="00000000" w:rsidDel="00000000" w:rsidR="00000000">
        <w:rPr>
          <w:rtl w:val="0"/>
        </w:rPr>
      </w:r>
    </w:p>
    <w:tbl>
      <w:tblPr>
        <w:tblStyle w:val="Table4"/>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blHeader w:val="0"/>
        </w:trPr>
        <w:tc>
          <w:tcPr>
            <w:shd w:val="clear" w:fill="d9d9d9"/>
          </w:tcPr>
          <w:p>
            <w:pPr>
              <w:spacing w:line="276" w:lineRule="auto"/>
              <w:jc w:val="center"/>
              <w:rPr>
                <w:b w:val="1"/>
              </w:rPr>
            </w:pPr>
            <w:r w:rsidRPr="00000000" w:rsidDel="00000000" w:rsidR="00000000">
              <w:rPr>
                <w:b w:val="1"/>
                <w:rtl w:val="0"/>
              </w:rPr>
              <w:t xml:space="preserve">MOŽNÉ NÁSTROJE, METÓDY A ZDROJE</w:t>
            </w:r>
          </w:p>
        </w:tc>
      </w:tr>
    </w:tbl>
    <w:p w:rsidRPr="00000000" w:rsidR="00000000" w:rsidDel="00000000" w:rsidP="00000000" w:rsidRDefault="00000000" w14:paraId="00000021">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b w:val="1"/>
        </w:rPr>
      </w:pPr>
      <w:r w:rsidRPr="00000000" w:rsidDel="00000000" w:rsid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color w:val="000000"/>
                <w:sz w:val="24"/>
                <w:szCs w:val="24"/>
              </w:rPr>
            </w:pPr>
            <w:r w:rsidRPr="00000000" w:rsidDel="00000000" w:rsidR="00000000">
              <w:rPr>
                <w:color w:val="000000"/>
                <w:sz w:val="24"/>
                <w:szCs w:val="24"/>
                <w:rtl w:val="0"/>
              </w:rPr>
              <w:t xml:space="preserve">1</w:t>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pPr>
            <w:r w:rsidRPr="00000000" w:rsidDel="00000000" w:rsidR="00000000">
              <w:rPr>
                <w:rtl w:val="0"/>
              </w:rPr>
              <w:t xml:space="preserve">Výučba staníc (digitálne na podložke a analógové)</w:t>
            </w:r>
          </w:p>
        </w:tc>
      </w:tr>
      <w:tr>
        <w:trPr>
          <w:cantSplit w:val="0"/>
          <w:trHeight w:val="128"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jc w:val="left"/>
              <w:rPr>
                <w:sz w:val="24"/>
                <w:szCs w:val="24"/>
              </w:rPr>
            </w:pPr>
            <w:r w:rsidRPr="00000000" w:rsidDel="00000000" w:rsidR="00000000">
              <w:rPr>
                <w:color w:val="000000"/>
                <w:sz w:val="24"/>
                <w:szCs w:val="24"/>
                <w:rtl w:val="0"/>
              </w:rPr>
              <w:t xml:space="preserve">2</w:t>
            </w:r>
            <w:r w:rsidRPr="00000000" w:rsidDel="00000000" w:rsidR="00000000">
              <w:rPr>
                <w:rtl w:val="0"/>
              </w:rPr>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jc w:val="left"/>
              <w:rPr>
                <w:color w:val="222222"/>
              </w:rPr>
            </w:pPr>
            <w:r w:rsidRPr="00000000" w:rsidDel="00000000" w:rsidR="00000000">
              <w:rPr>
                <w:color w:val="222222"/>
                <w:rtl w:val="0"/>
              </w:rPr>
              <w:t xml:space="preserve">Svetová kaviareň (digitálne prestávky)</w:t>
            </w:r>
          </w:p>
        </w:tc>
      </w:tr>
      <w:tr>
        <w:trPr>
          <w:cantSplit w:val="0"/>
          <w:trHeight w:val="7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pPr>
            <w:r w:rsidRPr="00000000" w:rsidDel="00000000" w:rsidR="00000000">
              <w:rPr>
                <w:color w:val="000000"/>
                <w:rtl w:val="0"/>
              </w:rPr>
              <w:t xml:space="preserve">3</w:t>
            </w:r>
            <w:r w:rsidRPr="00000000" w:rsidDel="00000000" w:rsidR="00000000">
              <w:rPr>
                <w:rtl w:val="0"/>
              </w:rPr>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color w:val="000000"/>
              </w:rPr>
            </w:pPr>
            <w:r w:rsidRPr="00000000" w:rsidDel="00000000" w:rsidR="00000000">
              <w:rPr>
                <w:color w:val="000000"/>
                <w:rtl w:val="0"/>
              </w:rPr>
              <w:t xml:space="preserve">Prechádzka po galérii (digitálne </w:t>
            </w:r>
            <w:r w:rsidRPr="00000000" w:rsidDel="00000000" w:rsidR="00000000">
              <w:rPr>
                <w:rtl w:val="0"/>
              </w:rPr>
              <w:t xml:space="preserve">breakout-sessions/padlet a analógové</w:t>
            </w:r>
            <w:r w:rsidRPr="00000000" w:rsidDel="00000000" w:rsidR="00000000">
              <w:rPr>
                <w:color w:val="000000"/>
                <w:rtl w:val="0"/>
              </w:rPr>
              <w:t xml:space="preserve">) </w:t>
            </w:r>
          </w:p>
        </w:tc>
      </w:tr>
      <w:tr>
        <w:trPr>
          <w:cantSplit w:val="0"/>
          <w:trHeight w:val="75"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rFonts w:ascii="Calibri" w:hAnsi="Calibri" w:eastAsia="Calibri" w:cs="Calibri"/>
                <w:color w:val="000000"/>
              </w:rPr>
            </w:pPr>
            <w:r w:rsidRPr="00000000" w:rsidDel="00000000" w:rsidR="00000000">
              <w:rPr>
                <w:rFonts w:ascii="Calibri" w:hAnsi="Calibri" w:eastAsia="Calibri" w:cs="Calibri"/>
                <w:color w:val="000000"/>
                <w:rtl w:val="0"/>
              </w:rPr>
              <w:t xml:space="preserve">4</w:t>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keepNext w:val="0"/>
              <w:keepLines w:val="0"/>
              <w:pageBreakBefore w:val="0"/>
              <w:widowControl w:val="1"/>
              <w:pBdr>
                <w:top w:val="nil" w:sz="0" w:space="0"/>
                <w:left w:val="nil" w:sz="0" w:space="0"/>
                <w:bottom w:val="nil" w:sz="0" w:space="0"/>
                <w:right w:val="nil" w:sz="0" w:space="0"/>
                <w:between w:val="nil" w:sz="0" w:space="0"/>
              </w:pBdr>
              <w:shd w:val="clear" w:fill="auto"/>
              <w:spacing w:before="0" w:after="0" w:line="276" w:lineRule="auto"/>
              <w:ind w:start="0" w:end="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Reverzný brainstorming (digitálny </w:t>
            </w:r>
            <w:r w:rsidRPr="00000000" w:rsidDel="00000000" w:rsidR="00000000">
              <w:rPr>
                <w:rtl w:val="0"/>
              </w:rPr>
              <w:t xml:space="preserve">na </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podložke a analógový)</w:t>
            </w:r>
          </w:p>
        </w:tc>
      </w:tr>
      <w:tr>
        <w:trPr>
          <w:cantSplit w:val="0"/>
          <w:trHeight w:val="138"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rFonts w:ascii="Calibri" w:hAnsi="Calibri" w:eastAsia="Calibri" w:cs="Calibri"/>
              </w:rPr>
            </w:pPr>
            <w:r w:rsidRPr="00000000" w:rsidDel="00000000" w:rsidR="00000000">
              <w:rPr>
                <w:rFonts w:ascii="Calibri" w:hAnsi="Calibri" w:eastAsia="Calibri" w:cs="Calibri"/>
                <w:rtl w:val="0"/>
              </w:rPr>
              <w:t xml:space="preserve">5</w:t>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Rule="auto"/>
              <w:rPr/>
            </w:pPr>
            <w:r w:rsidRPr="00000000" w:rsidDel="00000000" w:rsidR="00000000">
              <w:rPr>
                <w:rFonts w:ascii="Calibri" w:hAnsi="Calibri" w:eastAsia="Calibri" w:cs="Calibri"/>
                <w:rtl w:val="0"/>
              </w:rPr>
              <w:t xml:space="preserve">Diskusia Fishbowl </w:t>
            </w:r>
            <w:r w:rsidRPr="00000000" w:rsidDel="00000000" w:rsidR="00000000">
              <w:rPr>
                <w:rFonts w:ascii="Calibri" w:hAnsi="Calibri" w:eastAsia="Calibri" w:cs="Calibri"/>
                <w:rtl w:val="0"/>
              </w:rPr>
              <w:t xml:space="preserve">(</w:t>
            </w:r>
            <w:r w:rsidRPr="00000000" w:rsidDel="00000000" w:rsidR="00000000">
              <w:rPr>
                <w:rtl w:val="0"/>
              </w:rPr>
              <w:t xml:space="preserve">digitálna a online</w:t>
            </w:r>
            <w:r w:rsidRPr="00000000" w:rsidDel="00000000" w:rsidR="00000000">
              <w:rPr>
                <w:rFonts w:ascii="Calibri" w:hAnsi="Calibri" w:eastAsia="Calibri" w:cs="Calibri"/>
                <w:rtl w:val="0"/>
              </w:rPr>
              <w:t xml:space="preserve">)</w:t>
            </w:r>
            <w:r w:rsidRPr="00000000" w:rsidDel="00000000" w:rsidR="00000000">
              <w:rPr>
                <w:rtl w:val="0"/>
              </w:rPr>
            </w:r>
          </w:p>
        </w:tc>
      </w:tr>
      <w:tr>
        <w:trPr>
          <w:cantSplit w:val="0"/>
          <w:trHeight w:val="138" w:hRule="atLeast"/>
          <w:tblHeader w:val="0"/>
        </w:trPr>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276" w:lineRule="auto"/>
              <w:rPr>
                <w:rFonts w:ascii="Calibri" w:hAnsi="Calibri" w:eastAsia="Calibri" w:cs="Calibri"/>
              </w:rPr>
            </w:pPr>
            <w:r w:rsidRPr="00000000" w:rsidDel="00000000" w:rsidR="00000000">
              <w:rPr>
                <w:rtl w:val="0"/>
              </w:rPr>
              <w:t xml:space="preserve">6</w:t>
            </w:r>
            <w:r w:rsidRPr="00000000" w:rsidDel="00000000" w:rsidR="00000000">
              <w:rPr>
                <w:rtl w:val="0"/>
              </w:rPr>
            </w:r>
          </w:p>
        </w:tc>
        <w:tc>
          <w:tcPr>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tcPr>
          <w:p>
            <w:pPr>
              <w:spacing w:after="0" w:lineRule="auto"/>
              <w:rPr>
                <w:rFonts w:ascii="Calibri" w:hAnsi="Calibri" w:eastAsia="Calibri" w:cs="Calibri"/>
              </w:rPr>
            </w:pPr>
            <w:r w:rsidRPr="00000000" w:rsidDel="00000000" w:rsidR="00000000">
              <w:rPr>
                <w:rtl w:val="0"/>
              </w:rPr>
              <w:t xml:space="preserve">Rada pre definície (digitálne a online)</w:t>
            </w:r>
            <w:r w:rsidRPr="00000000" w:rsidDel="00000000" w:rsidR="00000000">
              <w:rPr>
                <w:rtl w:val="0"/>
              </w:rPr>
            </w:r>
          </w:p>
        </w:tc>
      </w:tr>
    </w:tbl>
    <w:p w:rsidRPr="00000000" w:rsidR="00000000" w:rsidDel="00000000" w:rsidP="00000000" w:rsidRDefault="00000000" w14:paraId="0000002E">
      <w:pPr>
        <w:spacing w:line="276" w:lineRule="auto"/>
        <w:rPr>
          <w:rFonts w:ascii="Cambria" w:hAnsi="Cambria" w:eastAsia="Cambria" w:cs="Cambria"/>
          <w:sz w:val="24"/>
          <w:szCs w:val="24"/>
        </w:rPr>
      </w:pPr>
      <w:r w:rsidRPr="00000000" w:rsidDel="00000000" w:rsidR="00000000">
        <w:rPr>
          <w:rtl w:val="0"/>
        </w:rPr>
      </w:r>
    </w:p>
    <w:tbl>
      <w:tblPr>
        <w:tblStyle w:val="Table6"/>
        <w:tblW w:w="9209.0" w:type="dxa"/>
        <w:jc w:val="lef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9209"/>
        <w:tblGridChange w:id="0">
          <w:tblGrid>
            <w:gridCol w:w="9209"/>
          </w:tblGrid>
        </w:tblGridChange>
      </w:tblGrid>
      <w:tr>
        <w:trPr>
          <w:cantSplit w:val="0"/>
          <w:trHeight w:val="590" w:hRule="atLeast"/>
          <w:tblHeader w:val="0"/>
        </w:trPr>
        <w:tc>
          <w:tcPr>
            <w:shd w:val="clear" w:fill="cbcdd1"/>
          </w:tcPr>
          <w:p>
            <w:pPr>
              <w:spacing w:after="120" w:line="276" w:lineRule="auto"/>
              <w:jc w:val="center"/>
              <w:rPr>
                <w:b w:val="1"/>
              </w:rPr>
            </w:pPr>
            <w:r w:rsidRPr="00000000" w:rsidDel="00000000" w:rsidR="00000000">
              <w:rPr>
                <w:b w:val="1"/>
                <w:rtl w:val="0"/>
              </w:rPr>
              <w:t xml:space="preserve">PRÍKLADY OSVEDČENÝCH POSTUPOV</w:t>
            </w:r>
          </w:p>
        </w:tc>
      </w:tr>
      <w:tr>
        <w:trPr>
          <w:cantSplit w:val="0"/>
          <w:trHeight w:val="1328" w:hRule="atLeast"/>
          <w:tblHeader w:val="0"/>
        </w:trPr>
        <w:tc>
          <w:tcPr/>
          <w:p>
            <w:pPr>
              <w:spacing w:after="120" w:line="276" w:lineRule="auto"/>
              <w:rPr/>
            </w:pPr>
            <w:bookmarkStart w:name="_heading=h.gjdgxs" w:colFirst="0" w:colLast="0" w:id="0"/>
            <w:bookmarkEnd w:id="0"/>
            <w:r w:rsidRPr="00000000" w:rsidDel="00000000" w:rsidR="00000000">
              <w:rPr>
                <w:rtl w:val="0"/>
              </w:rPr>
              <w:t xml:space="preserve">Hostiteľ si kladie otázku, čo je to multilog. Aby na ne našiel odpoveď, hostiteľ pripravil staničné učenie. Vysvetlí, ako to funguje, a rozdelí účastníkov (v tomto prípade) do troch skupín, z ktorých si každá vyberie jedno z troch stanovíšť. Na každú stanicu budú mať 20 minút. Jedna stanica pozostáva z teoretického textu týkajúceho sa multilogov, nahraného na padlete: čas na čítanie 10 až 15 minút, zvyšok na premýšľanie a diskusiu v skupine. Druhá stanica pozostáva z videí, ktoré vopred nahrajú ľudia, ktorí majú skúsenosti s konceptom multilogu a podelia sa o svoje skúsenosti: </w:t>
            </w:r>
            <w:r w:rsidRPr="00000000" w:rsidDel="00000000" w:rsidR="00000000">
              <w:rPr>
                <w:rtl w:val="0"/>
              </w:rPr>
              <w:t xml:space="preserve">Celkový čas nahrávania je </w:t>
            </w:r>
            <w:r w:rsidRPr="00000000" w:rsidDel="00000000" w:rsidR="00000000">
              <w:rPr>
                <w:rtl w:val="0"/>
              </w:rPr>
              <w:t xml:space="preserve">15 minút</w:t>
            </w:r>
            <w:r w:rsidRPr="00000000" w:rsidDel="00000000" w:rsidR="00000000">
              <w:rPr>
                <w:rtl w:val="0"/>
              </w:rPr>
              <w:t xml:space="preserve">, 5 minút je určených na reflexiu a diskusiu. Tretie stanovište je nástroj zo súboru nástrojov, tabuľa definícií, kde sa ľudia môžu zamyslieť nad svojím osobným chápaním multilogu alebo súvisiacich pojmov tak, že si ich zapíšu a definujú.</w:t>
            </w:r>
          </w:p>
          <w:p>
            <w:pPr>
              <w:spacing w:after="120" w:line="276" w:lineRule="auto"/>
              <w:rPr/>
            </w:pPr>
            <w:r w:rsidRPr="00000000" w:rsidDel="00000000" w:rsidR="00000000">
              <w:rPr>
                <w:rtl w:val="0"/>
              </w:rPr>
              <w:t xml:space="preserve">Moderátori sú vždy prítomní, aby oznámili zmenu na ďalšiu stanicu a odpovedali na prípadné otázky.</w:t>
            </w:r>
          </w:p>
          <w:p>
            <w:pPr>
              <w:spacing w:after="120" w:line="276" w:lineRule="auto"/>
              <w:rPr/>
            </w:pPr>
            <w:r w:rsidRPr="00000000" w:rsidDel="00000000" w:rsidR="00000000">
              <w:rPr>
                <w:rtl w:val="0"/>
              </w:rPr>
              <w:t xml:space="preserve">Po tom, čo všetky tri skupiny pracujú na všetkých stanovištiach, zhromaždia sa a približne 20 minút diskutujú o svojich zisteniach. </w:t>
            </w:r>
          </w:p>
          <w:p>
            <w:pPr>
              <w:spacing w:after="120" w:line="276" w:lineRule="auto"/>
              <w:rPr/>
            </w:pPr>
            <w:r w:rsidRPr="00000000" w:rsidDel="00000000" w:rsidR="00000000">
              <w:rPr>
                <w:rtl w:val="0"/>
              </w:rPr>
              <w:t xml:space="preserve">Čas venovaný tomuto modulu sa môže pohybovať od 30 do 90 minút v závislosti od množstva stanovíšť a od toho, či je alebo nie je zahrnutá záverečná diskusia.</w:t>
            </w:r>
          </w:p>
        </w:tc>
      </w:tr>
    </w:tbl>
    <w:p w:rsidRPr="00000000" w:rsidR="00000000" w:rsidDel="00000000" w:rsidP="00000000" w:rsidRDefault="00000000" w14:paraId="00000034">
      <w:pPr>
        <w:spacing w:line="276" w:lineRule="auto"/>
        <w:rPr/>
      </w:pPr>
      <w:r w:rsidRPr="00000000" w:rsidDel="00000000" w:rsidR="00000000">
        <w:rPr>
          <w:rtl w:val="0"/>
        </w:rPr>
      </w:r>
    </w:p>
    <w:p w:rsidRPr="00000000" w:rsidR="00000000" w:rsidDel="00000000" w:rsidP="00000000" w:rsidRDefault="00000000" w14:paraId="00000035">
      <w:pPr>
        <w:spacing w:line="276" w:lineRule="auto"/>
        <w:rPr/>
      </w:pPr>
      <w:r w:rsidRPr="00000000" w:rsidDel="00000000" w:rsidR="00000000">
        <w:rPr>
          <w:rtl w:val="0"/>
        </w:rPr>
      </w:r>
    </w:p>
    <w:p w:rsidRPr="00000000" w:rsidR="00000000" w:rsidDel="00000000" w:rsidP="00000000" w:rsidRDefault="00000000" w14:paraId="00000036">
      <w:pPr>
        <w:spacing w:line="276" w:lineRule="auto"/>
        <w:rPr/>
      </w:pPr>
      <w:r w:rsidRPr="00000000" w:rsidDel="00000000" w:rsidR="00000000">
        <w:rPr>
          <w:rtl w:val="0"/>
        </w:rPr>
      </w:r>
    </w:p>
    <w:p w:rsidRPr="00000000" w:rsidR="00000000" w:rsidDel="00000000" w:rsidP="00000000" w:rsidRDefault="00000000" w14:paraId="00000037">
      <w:pPr>
        <w:spacing w:line="276" w:lineRule="auto"/>
        <w:rPr/>
      </w:pPr>
      <w:r w:rsidRPr="00000000" w:rsidDel="00000000" w:rsidR="00000000">
        <w:rPr>
          <w:rtl w:val="0"/>
        </w:rPr>
      </w:r>
    </w:p>
    <w:p w:rsidRPr="00000000" w:rsidR="00000000" w:rsidDel="00000000" w:rsidP="00000000" w:rsidRDefault="00000000" w14:paraId="00000038">
      <w:pPr>
        <w:spacing w:line="276" w:lineRule="auto"/>
        <w:rPr/>
      </w:pPr>
      <w:r w:rsidRPr="00000000" w:rsidDel="00000000" w:rsidR="00000000">
        <w:rPr>
          <w:rtl w:val="0"/>
        </w:rPr>
      </w:r>
    </w:p>
    <w:p w:rsidRPr="00000000" w:rsidR="00000000" w:rsidDel="00000000" w:rsidP="00000000" w:rsidRDefault="00000000" w14:paraId="00000039">
      <w:pPr>
        <w:spacing w:line="276" w:lineRule="auto"/>
        <w:rPr/>
      </w:pPr>
      <w:r w:rsidRPr="00000000" w:rsidDel="00000000" w:rsidR="00000000">
        <w:rPr>
          <w:rtl w:val="0"/>
        </w:rPr>
      </w:r>
    </w:p>
    <w:p w:rsidRPr="00000000" w:rsidR="00000000" w:rsidDel="00000000" w:rsidP="00000000" w:rsidRDefault="00000000" w14:paraId="0000003A">
      <w:pPr>
        <w:spacing w:line="276" w:lineRule="auto"/>
        <w:rPr/>
      </w:pPr>
      <w:r w:rsidRPr="00000000" w:rsidDel="00000000" w:rsidR="00000000">
        <w:rPr>
          <w:rtl w:val="0"/>
        </w:rPr>
      </w:r>
    </w:p>
    <w:p w:rsidRPr="00000000" w:rsidR="00000000" w:rsidDel="00000000" w:rsidP="00000000" w:rsidRDefault="00000000" w14:paraId="0000003B">
      <w:pPr>
        <w:spacing w:line="276" w:lineRule="auto"/>
        <w:rPr/>
      </w:pPr>
      <w:r w:rsidRPr="00000000" w:rsidDel="00000000" w:rsidR="00000000">
        <w:rPr>
          <w:rtl w:val="0"/>
        </w:rPr>
      </w:r>
    </w:p>
    <w:p w:rsidRPr="00000000" w:rsidR="00000000" w:rsidDel="00000000" w:rsidP="00000000" w:rsidRDefault="00000000" w14:paraId="0000003C">
      <w:pPr>
        <w:spacing w:line="276" w:lineRule="auto"/>
        <w:rPr/>
      </w:pPr>
      <w:r w:rsidRPr="00000000" w:rsidDel="00000000" w:rsidR="00000000">
        <w:rPr>
          <w:rtl w:val="0"/>
        </w:rPr>
      </w:r>
    </w:p>
    <w:p w:rsidRPr="00000000" w:rsidR="00000000" w:rsidDel="00000000" w:rsidP="00000000" w:rsidRDefault="00000000" w14:paraId="0000003D">
      <w:pPr>
        <w:spacing w:line="276" w:lineRule="auto"/>
        <w:rPr/>
      </w:pPr>
      <w:r w:rsidRPr="00000000" w:rsidDel="00000000" w:rsidR="00000000">
        <w:rPr>
          <w:rtl w:val="0"/>
        </w:rPr>
      </w:r>
    </w:p>
    <w:p w:rsidRPr="00000000" w:rsidR="00000000" w:rsidDel="00000000" w:rsidP="00000000" w:rsidRDefault="00000000" w14:paraId="0000003E">
      <w:pPr>
        <w:spacing w:line="276" w:lineRule="auto"/>
        <w:rPr/>
      </w:pPr>
      <w:r w:rsidRPr="00000000" w:rsidDel="00000000" w:rsidR="00000000">
        <w:rPr>
          <w:rtl w:val="0"/>
        </w:rPr>
      </w:r>
    </w:p>
    <w:p w:rsidRPr="00000000" w:rsidR="00000000" w:rsidDel="00000000" w:rsidP="00000000" w:rsidRDefault="00000000" w14:paraId="0000003F">
      <w:pPr>
        <w:spacing w:line="276" w:lineRule="auto"/>
        <w:rPr/>
      </w:pPr>
      <w:r w:rsidRPr="00000000" w:rsidDel="00000000" w:rsidR="00000000">
        <w:rPr>
          <w:rtl w:val="0"/>
        </w:rPr>
      </w:r>
    </w:p>
    <w:p w:rsidRPr="00000000" w:rsidR="00000000" w:rsidDel="00000000" w:rsidP="00000000" w:rsidRDefault="00000000" w14:paraId="00000040">
      <w:pPr>
        <w:spacing w:line="276" w:lineRule="auto"/>
        <w:rPr/>
      </w:pPr>
      <w:r w:rsidRPr="00000000" w:rsidDel="00000000" w:rsidR="00000000">
        <w:rPr>
          <w:rtl w:val="0"/>
        </w:rPr>
      </w:r>
    </w:p>
    <w:p w:rsidRPr="00000000" w:rsidR="00000000" w:rsidDel="00000000" w:rsidP="00000000" w:rsidRDefault="00000000" w14:paraId="00000041">
      <w:pPr>
        <w:spacing w:line="276" w:lineRule="auto"/>
        <w:rPr/>
      </w:pPr>
      <w:r w:rsidRPr="00000000" w:rsidDel="00000000" w:rsidR="00000000">
        <w:rPr>
          <w:rtl w:val="0"/>
        </w:rPr>
      </w:r>
    </w:p>
    <w:p w:rsidRPr="00000000" w:rsidR="00000000" w:rsidDel="00000000" w:rsidP="00000000" w:rsidRDefault="00000000" w14:paraId="00000042">
      <w:pPr>
        <w:spacing w:line="276" w:lineRule="auto"/>
        <w:rPr/>
      </w:pPr>
      <w:r w:rsidRPr="00000000" w:rsidDel="00000000" w:rsidR="00000000">
        <w:rPr>
          <w:rtl w:val="0"/>
        </w:rPr>
      </w:r>
    </w:p>
    <w:p w:rsidRPr="00000000" w:rsidR="00000000" w:rsidDel="00000000" w:rsidP="00000000" w:rsidRDefault="00000000" w14:paraId="00000043">
      <w:pPr>
        <w:spacing w:line="276" w:lineRule="auto"/>
        <w:rPr/>
      </w:pPr>
      <w:r w:rsidRPr="00000000" w:rsidDel="00000000" w:rsidR="00000000">
        <w:rPr>
          <w:rtl w:val="0"/>
        </w:rPr>
      </w:r>
    </w:p>
    <w:sectPr>
      <w:headerReference w:type="default" r:id="rId7"/>
      <w:headerReference w:type="first" r:id="rId8"/>
      <w:headerReference w:type="even" r:id="rId9"/>
      <w:footerReference w:type="default" r:id="rId10"/>
      <w:footerReference w:type="first" r:id="rId11"/>
      <w:footerReference w:type="even" r:id="rId12"/>
      <w:pgSz w:w="11906" w:h="16838" w:orient="portrait"/>
      <w:pgMar w:top="1440" w:right="1440" w:bottom="1440" w:lef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47">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48">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49">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44">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pPr>
      <w:tabs>
        <w:tab w:val="center" w:leader="none" w:pos="4513"/>
        <w:tab w:val="right" w:leader="none" w:pos="9026"/>
      </w:tabs>
      <w:spacing w:after="0" w:lineRule="auto"/>
      <w:jc w:val="center"/>
      <w:rPr>
        <w:b w:val="1"/>
        <w:color w:val="1f497d"/>
        <w:sz w:val="28"/>
        <w:szCs w:val="28"/>
      </w:rPr>
    </w:pPr>
    <w:r w:rsidRPr="00000000" w:rsidDel="00000000" w:rsidR="00000000">
      <w:rPr>
        <w:b w:val="1"/>
        <w:color w:val="1f497d"/>
        <w:sz w:val="28"/>
        <w:szCs w:val="28"/>
        <w:vertAlign w:val="baseline"/>
        <w:rtl w:val="0"/>
      </w:rPr>
      <w:t xml:space="preserve">Zmiešané multilógy: posilnenie transformácie a inovácie vo vysokoškolskom vzdelávaní</w:t>
    </w:r>
    <w:r w:rsidRPr="00000000" w:rsidDel="00000000" w:rsidR="00000000">
      <w:rPr>
        <w:rtl w:val="0"/>
      </w:rPr>
    </w:r>
    <w:r w:rsidRPr="00000000" w:rsidDel="00000000" w:rsidR="00000000">
      <w:drawing>
        <wp:anchor distT="0" distB="0" distL="114300" distR="114300" simplePos="0" relativeHeight="0" behindDoc="0" locked="0" layoutInCell="1" hidden="0" allowOverlap="1">
          <wp:simplePos x="0" y="0"/>
          <wp:positionH relativeFrom="column">
            <wp:posOffset>-908049</wp:posOffset>
          </wp:positionH>
          <wp:positionV relativeFrom="paragraph">
            <wp:posOffset>-354329</wp:posOffset>
          </wp:positionV>
          <wp:extent cx="1720850" cy="490855"/>
          <wp:effectExtent l="0" t="0" r="0" b="0"/>
          <wp:wrapSquare wrapText="bothSides" distT="0" distB="0" distL="114300" distR="114300"/>
          <wp:docPr id="4"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1720850" cy="49085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5638800</wp:posOffset>
          </wp:positionH>
          <wp:positionV relativeFrom="paragraph">
            <wp:posOffset>-411479</wp:posOffset>
          </wp:positionV>
          <wp:extent cx="885600" cy="885600"/>
          <wp:effectExtent l="0" t="0" r="0" b="0"/>
          <wp:wrapSquare wrapText="bothSides" distT="0" distB="0" distL="114300" distR="114300"/>
          <wp:docPr id="5"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Pr="00000000" w:rsidR="00000000" w:rsidDel="00000000" w:rsidP="00000000" w:rsidRDefault="00000000" w14:paraId="00000046">
    <w:pPr>
      <w:pBdr>
        <w:top w:val="nil" w:sz="0" w:space="0"/>
        <w:left w:val="nil" w:sz="0" w:space="0"/>
        <w:bottom w:val="nil" w:sz="0" w:space="0"/>
        <w:right w:val="nil" w:sz="0" w:space="0"/>
        <w:between w:val="nil" w:sz="0" w:space="0"/>
      </w:pBdr>
      <w:tabs>
        <w:tab w:val="center" w:leader="none" w:pos="4513"/>
        <w:tab w:val="right" w:leader="none" w:pos="9026"/>
      </w:tabs>
      <w:spacing w:after="0" w:lineRule="auto"/>
      <w:rPr>
        <w:color w:val="00000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hAnsi="Calibri" w:eastAsia="Calibri" w:cs="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after="60" w:lineRule="auto"/>
      <w:jc w:val="left"/>
    </w:pPr>
    <w:rPr>
      <w:b w:val="1"/>
      <w:sz w:val="24"/>
      <w:szCs w:val="24"/>
    </w:rPr>
  </w:style>
  <w:style w:type="paragraph" w:styleId="Heading2">
    <w:name w:val="heading 2"/>
    <w:basedOn w:val="Normal"/>
    <w:next w:val="Normal"/>
    <w:pPr>
      <w:spacing w:before="240" w:after="8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before="240" w:after="0" w:lineRule="auto"/>
      <w:jc w:val="left"/>
    </w:pPr>
    <w:rPr>
      <w:smallCaps w:val="1"/>
      <w:sz w:val="22"/>
      <w:szCs w:val="22"/>
    </w:rPr>
  </w:style>
  <w:style w:type="paragraph" w:styleId="Heading5">
    <w:name w:val="heading 5"/>
    <w:basedOn w:val="Normal"/>
    <w:next w:val="Normal"/>
    <w:pPr>
      <w:spacing w:before="200" w:after="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val="single" w:color="ccaf0a" w:sz="12" w:space="1"/>
      </w:pBdr>
      <w:spacing w:after="60" w:lineRule="auto"/>
      <w:jc w:val="left"/>
    </w:pPr>
    <w:rPr>
      <w:rFonts w:ascii="Quattrocento Sans" w:hAnsi="Quattrocento Sans" w:eastAsia="Quattrocento Sans" w:cs="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before="240" w:after="60"/>
      <w:jc w:val="left"/>
      <w:outlineLvl w:val="0"/>
    </w:pPr>
    <w:rPr>
      <w:b w:val="1"/>
      <w:sz w:val="24"/>
      <w:szCs w:val="24"/>
    </w:rPr>
  </w:style>
  <w:style w:type="paragraph" w:styleId="berschrift2">
    <w:name w:val="heading 2"/>
    <w:basedOn w:val="Standard"/>
    <w:next w:val="Standard"/>
    <w:uiPriority w:val="9"/>
    <w:semiHidden w:val="1"/>
    <w:unhideWhenUsed w:val="1"/>
    <w:qFormat w:val="1"/>
    <w:pPr>
      <w:spacing w:before="240" w:after="8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before="240" w:after="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before="200" w:after="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val="single" w:color="ccaf0a" w:sz="12" w:space="1"/>
      </w:pBdr>
      <w:spacing w:after="60"/>
      <w:jc w:val="left"/>
    </w:pPr>
    <w:rPr>
      <w:rFonts w:ascii="Quattrocento Sans" w:hAnsi="Quattrocento Sans" w:eastAsia="Quattrocento Sans" w:cs="Quattrocento Sans"/>
      <w:sz w:val="36"/>
      <w:szCs w:val="36"/>
    </w:rPr>
  </w:style>
  <w:style w:type="paragraph" w:styleId="Untertitel">
    <w:name w:val="Subtitle"/>
    <w:basedOn w:val="Standard"/>
    <w:next w:val="Standard"/>
    <w:uiPriority w:val="11"/>
    <w:qFormat w:val="1"/>
    <w:pPr>
      <w:spacing w:after="240"/>
      <w:jc w:val="left"/>
    </w:pPr>
    <w:rPr>
      <w:rFonts w:ascii="Quattrocento Sans" w:hAnsi="Quattrocento Sans" w:eastAsia="Quattrocento Sans" w:cs="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hAnsi="Segoe UI" w:cs="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before="100" w:beforeAutospacing="1" w:after="100" w:afterAutospacing="1"/>
      <w:jc w:val="left"/>
    </w:pPr>
    <w:rPr>
      <w:rFonts w:ascii="Times New Roman" w:hAnsi="Times New Roman" w:eastAsia="Times New Roman" w:cs="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hAnsiTheme="minorHAnsi" w:eastAsiaTheme="minorHAnsi" w:cstheme="minorBid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val="clear" w:color="auto" w:fill="e1dfdd"/>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hAnsi="Quattrocento Sans" w:eastAsia="Quattrocento Sans" w:cs="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iYWakb/qlRYE1/O8e5gxUmtxzQ==">CgMxLjAyCGguZ2pkZ3hzMgloLjFmb2I5dGUyDmgua3BjZm1pazJlaW1xMghoLmdqZGd4czgAah8KFHN1Z2dlc3QubWlyeGZxeWc0YmZlEgdDb2pvIEJlah8KFHN1Z2dlc3QucTViNmJvamc5dWV1EgdDb2pvIEJlah8KFHN1Z2dlc3QuN3VjZnNqeTJhNmUyEgdDb2pvIEJlah8KFHN1Z2dlc3QuZDkxM2NubWI2aHQ5EgdDb2pvIEJlah8KFHN1Z2dlc3QudzNrYzh6a2NteWpyEgdDb2pvIEJlciExakstOUVXTGhNeWpxd0VYUEFoQjVLUzZlYVlOTVRUY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2024-07-10T14:54:00.0000000Z</dcterms:created>
  <keywords>, docId:46756C54EFF2DDD13016398E28F2E3F8</keywords>
</coreProperties>
</file>