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Pr="00000000" w:rsidR="00000000" w:rsidDel="00000000" w:rsidP="00000000" w:rsidRDefault="00000000" w14:paraId="00000001">
      <w:pPr>
        <w:widowControl w:val="0"/>
        <w:spacing w:after="0" w:line="276" w:lineRule="auto"/>
        <w:jc w:val="left"/>
        <w:rPr>
          <w:rFonts w:ascii="Arial" w:hAnsi="Arial" w:eastAsia="Arial" w:cs="Arial"/>
          <w:b w:val="1"/>
          <w:sz w:val="22"/>
          <w:szCs w:val="22"/>
        </w:rPr>
      </w:pPr>
      <w:bookmarkStart w:name="_heading=h.gjdgxs" w:colFirst="0" w:colLast="0" w:id="0"/>
      <w:bookmarkEnd w:id="0"/>
      <w:r w:rsidRPr="00000000" w:rsidDel="00000000" w:rsid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370"/>
        <w:gridCol w:w="6839"/>
        <w:tblGridChange w:id="0">
          <w:tblGrid>
            <w:gridCol w:w="2370"/>
            <w:gridCol w:w="683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PODROBNOSTI O MODULE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val="clear" w:fill="b8cce4"/>
          </w:tcPr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Názov modulu</w:t>
            </w:r>
          </w:p>
        </w:tc>
        <w:tc>
          <w:tcPr>
            <w:shd w:val="clear" w:fill="b8cce4"/>
          </w:tcPr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Zoznámte sa navzájom</w:t>
            </w:r>
          </w:p>
        </w:tc>
      </w:tr>
      <w:tr>
        <w:trPr>
          <w:cantSplit w:val="0"/>
          <w:trHeight w:val="4360" w:hRule="atLeast"/>
          <w:tblHeader w:val="0"/>
        </w:trPr>
        <w:tc>
          <w:tcPr>
            <w:shd w:val="clear" w:fill="cbcdd1"/>
          </w:tcPr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Opis modulu</w:t>
            </w:r>
          </w:p>
        </w:tc>
        <w:tc>
          <w:tcPr/>
          <w:p>
            <w:pPr>
              <w:spacing w:after="160" w:line="276" w:lineRule="auto"/>
              <w:rPr/>
            </w:pPr>
            <w:bookmarkStart w:name="_heading=h.1fob9te" w:colFirst="0" w:colLast="0" w:id="1"/>
            <w:bookmarkEnd w:id="1"/>
            <w:r w:rsidRPr="00000000" w:rsidDel="00000000" w:rsidR="00000000">
              <w:rPr>
                <w:rtl w:val="0"/>
              </w:rPr>
              <w:t xml:space="preserve">Keďže účastníci budú z rôznych inštitúcií a pravdepodobne nepoznajú ani hostiteľov, tento modul sa pokúša o vzájomné zoznámenie účastníkov. Okrem toho sa prostredníctvom niektorých prípadne implementovaných nástrojov dáva príležitosť položiť sebe a ostatným niekoľko prvých otázok o zmiešanom vzdelávaní. Ako je podrobnejšie opísané nižšie, nezlepšuje to len zážitok zo samotného podujatia, ale zavádza to aspoň jeden ďalší nástroj zo súboru nástrojov. </w:t>
            </w:r>
          </w:p>
          <w:p>
            <w:pPr>
              <w:spacing w:after="160" w:line="276" w:lineRule="auto"/>
              <w:rPr/>
            </w:pPr>
            <w:r w:rsidRPr="00000000" w:rsidDel="00000000" w:rsidR="00000000">
              <w:rPr>
                <w:rtl w:val="0"/>
              </w:rPr>
              <w:t xml:space="preserve">Čas a dôležitosť tohto modulu závisí výlučne od toho, ako dôležité je pre účastníkov vzájomné spoznávanie sa. Nadväzovanie kontaktov môže byť v jednej inštitúcii dôležitejšie ako v druhej. Tento modul je možné aj úplne vynechať, pretože nasledujúca skupinová práca v rámci multilógu poskytne účastníkom tiež možnosť vzájomne sa porozprávať, hoci v oveľa obmedzenejšom rozsahu. Nástroj(-y) použitý(-é) pre tento modul by mal(-i) byť prístupný(-é) pre všetky </w:t>
            </w:r>
            <w:r w:rsidRPr="00000000" w:rsidDel="00000000" w:rsidR="00000000">
              <w:rPr>
                <w:rtl w:val="0"/>
              </w:rPr>
              <w:t xml:space="preserve">oblasti </w:t>
            </w:r>
            <w:r w:rsidRPr="00000000" w:rsidDel="00000000" w:rsidR="00000000">
              <w:rPr>
                <w:rtl w:val="0"/>
              </w:rPr>
              <w:t xml:space="preserve">pripravenosti</w:t>
            </w:r>
            <w:r w:rsidRPr="00000000" w:rsidDel="00000000" w:rsidR="00000000">
              <w:rPr>
                <w:rtl w:val="0"/>
              </w:rPr>
              <w:t xml:space="preserve">. Je potrebné zohľadniť aj rozdiely v analógovej a online implementácii.</w:t>
            </w:r>
          </w:p>
          <w:p>
            <w:pPr>
              <w:spacing w:after="160" w:line="276" w:lineRule="auto"/>
              <w:rPr/>
            </w:pPr>
            <w:r w:rsidRPr="00000000" w:rsidDel="00000000" w:rsidR="00000000">
              <w:rPr>
                <w:rtl w:val="0"/>
              </w:rPr>
              <w:t xml:space="preserve">Ideálne je, ak sa tento modul zaradí na začiatok podujatia, ale až po uvítaní a rozvrhu a prípadne po sebahodnotení. </w:t>
            </w:r>
          </w:p>
        </w:tc>
      </w:tr>
    </w:tbl>
    <w:p w:rsidRPr="00000000" w:rsidR="00000000" w:rsidDel="00000000" w:rsidP="00000000" w:rsidRDefault="00000000" w14:paraId="0000000A">
      <w:pPr>
        <w:spacing w:line="276" w:lineRule="auto"/>
        <w:rPr/>
      </w:pPr>
      <w:r w:rsidRPr="00000000" w:rsidDel="00000000" w:rsidR="00000000">
        <w:rPr>
          <w:rtl w:val="0"/>
        </w:rPr>
      </w:r>
    </w:p>
    <w:tbl>
      <w:tblPr>
        <w:tblStyle w:val="Table2"/>
        <w:tblW w:w="9242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1384"/>
        <w:gridCol w:w="7858"/>
        <w:tblGridChange w:id="0">
          <w:tblGrid>
            <w:gridCol w:w="1384"/>
            <w:gridCol w:w="785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VÝSLEDKY UČENIA SA V MODULE (vedomosti a zručnosti)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left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 úspešnom absolvovaní tohto modulu bude mať pedagóg: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LO1</w:t>
            </w:r>
          </w:p>
        </w:tc>
        <w:tc>
          <w:tcPr/>
          <w:p>
            <w:pPr>
              <w:widowControl w:val="0"/>
              <w:spacing w:after="240" w:line="276" w:lineRule="auto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cítili viac tímového ducha a dozvedeli sa viac o ostatných účastníkoch.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LO2</w:t>
            </w:r>
          </w:p>
        </w:tc>
        <w:tc>
          <w:tcPr/>
          <w:p>
            <w:pPr>
              <w:widowControl w:val="0"/>
              <w:spacing w:after="240" w:line="276" w:lineRule="auto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vyskúšali aspoň jeden z nástrojov zo súboru nástrojov.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LO3</w:t>
            </w:r>
          </w:p>
        </w:tc>
        <w:tc>
          <w:tcPr/>
          <w:p>
            <w:pPr>
              <w:spacing w:after="240" w:line="276" w:lineRule="auto"/>
              <w:rPr/>
            </w:pPr>
            <w:r w:rsidRPr="00000000" w:rsidDel="00000000" w:rsidR="00000000">
              <w:rPr>
                <w:rtl w:val="0"/>
              </w:rPr>
              <w:t xml:space="preserve">odrážali (do určitej miery) to, čím by mohlo byť zmiešané vzdelávanie.</w:t>
            </w:r>
          </w:p>
        </w:tc>
      </w:tr>
    </w:tbl>
    <w:p w:rsidRPr="00000000" w:rsidR="00000000" w:rsidDel="00000000" w:rsidP="00000000" w:rsidRDefault="00000000" w14:paraId="00000015">
      <w:pPr>
        <w:spacing w:line="276" w:lineRule="auto"/>
        <w:rPr>
          <w:b w:val="1"/>
        </w:rPr>
      </w:pPr>
      <w:r w:rsidRPr="00000000" w:rsidDel="00000000" w:rsid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bookmarkStart w:name="_heading=h.kpcfmik2eimq" w:colFirst="0" w:colLast="0" w:id="2"/>
            <w:bookmarkEnd w:id="2"/>
            <w:r w:rsidRPr="00000000" w:rsidDel="00000000" w:rsidR="00000000">
              <w:rPr>
                <w:b w:val="1"/>
                <w:rtl w:val="0"/>
              </w:rPr>
              <w:t xml:space="preserve">ORIENTAČNÝ OBSAH (ZOZNAM TÉM, KTORÉ SA MAJÚ PREBRAŤ)</w:t>
            </w:r>
          </w:p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Podrobné osnovy a anotácie obsahu</w:t>
            </w:r>
          </w:p>
        </w:tc>
      </w:tr>
      <w:tr>
        <w:trPr>
          <w:cantSplit w:val="0"/>
          <w:trHeight w:val="1328" w:hRule="atLeast"/>
          <w:tblHeader w:val="0"/>
        </w:trPr>
        <w:tc>
          <w:tcPr/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Predstavenie modulu a vysvetlenie jeho cieľov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Opis použitého nástroja (nástrojov), resp. hry (hier) a času, ktorý sa im venoval</w:t>
            </w:r>
            <w:r w:rsidRPr="00000000" w:rsidDel="00000000" w:rsidR="00000000">
              <w:rPr>
                <w:rtl w:val="0"/>
              </w:rPr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Vykonávanie úlohy a prípadná pomoc hostiteľa (hostiteľov)</w:t>
            </w:r>
            <w:r w:rsidRPr="00000000" w:rsidDel="00000000" w:rsidR="00000000">
              <w:rPr>
                <w:rtl w:val="0"/>
              </w:rPr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Záver (a možná spätná väzba)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1C">
      <w:pPr>
        <w:spacing w:line="276" w:lineRule="auto"/>
        <w:rPr/>
      </w:pPr>
      <w:r w:rsidRPr="00000000" w:rsidDel="00000000" w:rsid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blHeader w:val="0"/>
        </w:trPr>
        <w:tc>
          <w:tcPr>
            <w:shd w:val="clear" w:fill="d9d9d9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MOŽNÉ NÁSTROJE, METÓDY A ZDROJE</w:t>
            </w:r>
          </w:p>
        </w:tc>
      </w:tr>
    </w:tbl>
    <w:p w:rsidRPr="00000000" w:rsidR="00000000" w:rsidDel="00000000" w:rsidP="00000000" w:rsidRDefault="00000000" w14:paraId="0000001E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start="0" w:end="0" w:firstLine="0"/>
        <w:jc w:val="left"/>
        <w:rPr>
          <w:b w:val="1"/>
        </w:rPr>
      </w:pPr>
      <w:r w:rsidRPr="00000000" w:rsidDel="00000000" w:rsidR="00000000">
        <w:rPr>
          <w:rtl w:val="0"/>
        </w:rPr>
      </w:r>
    </w:p>
    <w:tbl>
      <w:tblPr>
        <w:tblStyle w:val="Table5"/>
        <w:tblW w:w="9204.0" w:type="dxa"/>
        <w:jc w:val="left"/>
        <w:tblLayout w:type="fixed"/>
        <w:tblLook w:val="0400"/>
      </w:tblPr>
      <w:tblGrid>
        <w:gridCol w:w="490"/>
        <w:gridCol w:w="8714"/>
        <w:tblGridChange w:id="0">
          <w:tblGrid>
            <w:gridCol w:w="490"/>
            <w:gridCol w:w="8714"/>
          </w:tblGrid>
        </w:tblGridChange>
      </w:tblGrid>
      <w:tr>
        <w:trPr>
          <w:cantSplit w:val="0"/>
          <w:trHeight w:val="115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>
                <w:color w:val="000000"/>
              </w:rPr>
            </w:pPr>
            <w:r w:rsidRPr="00000000" w:rsidDel="00000000" w:rsid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Rule="auto"/>
              <w:rPr/>
            </w:pPr>
            <w:r w:rsidRPr="00000000" w:rsidDel="00000000" w:rsidR="00000000">
              <w:rPr>
                <w:rtl w:val="0"/>
              </w:rPr>
              <w:t xml:space="preserve">Úvodný kruh (digitálny a analógový)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jc w:val="left"/>
              <w:rPr/>
            </w:pPr>
            <w:r w:rsidRPr="00000000" w:rsidDel="00000000" w:rsidR="00000000">
              <w:rPr>
                <w:color w:val="000000"/>
                <w:rtl w:val="0"/>
              </w:rPr>
              <w:t xml:space="preserve">2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Rule="auto"/>
              <w:rPr/>
            </w:pPr>
            <w:r w:rsidRPr="00000000" w:rsidDel="00000000" w:rsidR="00000000">
              <w:rPr>
                <w:rtl w:val="0"/>
              </w:rPr>
              <w:t xml:space="preserve">Názov bingo (digitálne a analógové zasadnutia)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/>
            </w:pPr>
            <w:r w:rsidRPr="00000000" w:rsidDel="00000000" w:rsidR="00000000">
              <w:rPr>
                <w:color w:val="000000"/>
                <w:rtl w:val="0"/>
              </w:rPr>
              <w:t xml:space="preserve">3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>
                <w:color w:val="000000"/>
              </w:rPr>
            </w:pPr>
            <w:r w:rsidRPr="00000000" w:rsidDel="00000000" w:rsidR="00000000">
              <w:rPr>
                <w:color w:val="000000"/>
                <w:rtl w:val="0"/>
              </w:rPr>
              <w:t xml:space="preserve">Rozhovor s partnermi (</w:t>
            </w:r>
            <w:r w:rsidRPr="00000000" w:rsidDel="00000000" w:rsidR="00000000">
              <w:rPr>
                <w:rtl w:val="0"/>
              </w:rPr>
              <w:t xml:space="preserve">digitálne </w:t>
            </w:r>
            <w:r w:rsidRPr="00000000" w:rsidDel="00000000" w:rsidR="00000000">
              <w:rPr>
                <w:rtl w:val="0"/>
              </w:rPr>
              <w:t xml:space="preserve">a analógové zasadnutia</w:t>
            </w:r>
            <w:r w:rsidRPr="00000000" w:rsidDel="00000000" w:rsidR="00000000">
              <w:rPr>
                <w:color w:val="000000"/>
                <w:rtl w:val="0"/>
              </w:rPr>
              <w:t xml:space="preserve">) 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keepNext w:val="0"/>
              <w:keepLines w:val="0"/>
              <w:pageBreakBefore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0" w:end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Menti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(pripojenie k modulu Modular 1; </w:t>
            </w:r>
            <w:r w:rsidRPr="00000000" w:rsidDel="00000000" w:rsidR="00000000">
              <w:rPr>
                <w:rtl w:val="0"/>
              </w:rPr>
              <w:t xml:space="preserve">digitálne a analógové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)</w:t>
            </w: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>
                <w:rFonts w:ascii="Calibri" w:hAnsi="Calibri" w:eastAsia="Calibri" w:cs="Calibri"/>
                <w:color w:val="000000"/>
              </w:rPr>
            </w:pPr>
            <w:r w:rsidRPr="00000000" w:rsidDel="00000000" w:rsidR="00000000">
              <w:rPr>
                <w:rtl w:val="0"/>
              </w:rPr>
              <w:t xml:space="preserve">5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keepNext w:val="0"/>
              <w:keepLines w:val="0"/>
              <w:pageBreakBefore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0" w:end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  <w:t xml:space="preserve">Rada pre definície (digitálne a analógové)</w:t>
            </w: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keepNext w:val="0"/>
              <w:keepLines w:val="0"/>
              <w:pageBreakBefore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0" w:end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Mindmapping (digitálny a analógový)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>
                <w:color w:val="000000"/>
              </w:rPr>
            </w:pPr>
            <w:r w:rsidRPr="00000000" w:rsidDel="00000000" w:rsidR="00000000">
              <w:rPr>
                <w:rtl w:val="0"/>
              </w:rPr>
              <w:t xml:space="preserve">7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Rule="auto"/>
              <w:rPr/>
            </w:pPr>
            <w:r w:rsidRPr="00000000" w:rsidDel="00000000" w:rsidR="00000000">
              <w:rPr>
                <w:rtl w:val="0"/>
              </w:rPr>
              <w:t xml:space="preserve">Brainstorming </w:t>
            </w:r>
            <w:r w:rsidRPr="00000000" w:rsidDel="00000000" w:rsidR="00000000">
              <w:rPr>
                <w:rtl w:val="0"/>
              </w:rPr>
              <w:t xml:space="preserve">(digitálny a analógový, dokonca aj papierový brainstorming)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2D">
      <w:pPr>
        <w:spacing w:line="276" w:lineRule="auto"/>
        <w:rPr>
          <w:rFonts w:ascii="Cambria" w:hAnsi="Cambria" w:eastAsia="Cambria" w:cs="Cambria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Style w:val="Table6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shd w:val="clear" w:fill="cbcdd1"/>
          </w:tcPr>
          <w:p>
            <w:pPr>
              <w:spacing w:after="120"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PRÍKLADY OSVEDČENÝCH POSTUPOV</w:t>
            </w:r>
          </w:p>
        </w:tc>
      </w:tr>
      <w:tr>
        <w:trPr>
          <w:cantSplit w:val="0"/>
          <w:trHeight w:val="1328" w:hRule="atLeast"/>
          <w:tblHeader w:val="0"/>
        </w:trPr>
        <w:tc>
          <w:tcPr/>
          <w:p>
            <w:pPr>
              <w:spacing w:line="276" w:lineRule="auto"/>
              <w:rPr/>
            </w:pPr>
            <w:bookmarkStart w:name="_heading=h.gjdgxs" w:colFirst="0" w:colLast="0" w:id="0"/>
            <w:bookmarkEnd w:id="0"/>
            <w:r w:rsidRPr="00000000" w:rsidDel="00000000" w:rsidR="00000000">
              <w:rPr>
                <w:rtl w:val="0"/>
              </w:rPr>
              <w:t xml:space="preserve">Hostiteľ sa rozhodne použiť tento modul a vyberie si preň dva nástroje, a to bingo mien a partnerský rozhovor. Vysvetlí, ako každý z nástrojov funguje, a na vyplnenie každého z nich poskytne 15 minút. Okrem toho už tieto dva nástroje prepojí s obsahom multilogu </w:t>
            </w:r>
            <w:r w:rsidRPr="00000000" w:rsidDel="00000000" w:rsidR="00000000">
              <w:rPr>
                <w:rtl w:val="0"/>
              </w:rPr>
              <w:t xml:space="preserve">a vyšším vzdelaním. </w:t>
            </w:r>
            <w:r w:rsidRPr="00000000" w:rsidDel="00000000" w:rsidR="00000000">
              <w:rPr>
                <w:highlight w:val="white"/>
                <w:rtl w:val="0"/>
              </w:rPr>
              <w:t xml:space="preserve">Počas binga mien sa účastníci snažia nájsť rovesníkov, ktorí zodpovedajú určitým vlastnostiam (súvisiacim s vyučovaním a vzdelávaním) uvedeným na karte binga, a zapísať ich mená. Cieľom je </w:t>
            </w:r>
            <w:r w:rsidRPr="00000000" w:rsidDel="00000000" w:rsidR="00000000">
              <w:rPr>
                <w:highlight w:val="white"/>
                <w:rtl w:val="0"/>
              </w:rPr>
              <w:t xml:space="preserve">čo najrýchlejšie </w:t>
            </w:r>
            <w:r w:rsidRPr="00000000" w:rsidDel="00000000" w:rsidR="00000000">
              <w:rPr>
                <w:highlight w:val="white"/>
                <w:rtl w:val="0"/>
              </w:rPr>
              <w:t xml:space="preserve">dokončiť celý rad</w:t>
            </w:r>
            <w:r w:rsidRPr="00000000" w:rsidDel="00000000" w:rsidR="00000000">
              <w:rPr>
                <w:rtl w:val="0"/>
              </w:rPr>
              <w:t xml:space="preserve">. </w:t>
            </w:r>
            <w:r w:rsidRPr="00000000" w:rsidDel="00000000" w:rsidR="00000000">
              <w:rPr>
                <w:rtl w:val="0"/>
              </w:rPr>
              <w:t xml:space="preserve">Keď príde na rad partnerský rozhovor, dvaja ľudia si navzájom kladú otázky, napríklad </w:t>
            </w:r>
            <w:r w:rsidRPr="00000000" w:rsidDel="00000000" w:rsidR="00000000">
              <w:rPr>
                <w:i w:val="1"/>
                <w:rtl w:val="0"/>
              </w:rPr>
              <w:t xml:space="preserve">aké sú podľa vás výhody a nevýhody online vzdelávania?</w:t>
            </w:r>
            <w:r w:rsidRPr="00000000" w:rsidDel="00000000" w:rsidR="00000000">
              <w:rPr>
                <w:rtl w:val="0"/>
              </w:rPr>
              <w:t xml:space="preserve"> Následne každý z nich predstaví druhú osobu skupine. Hostiteľ je v blízkosti, aby účastníkom pomohol, ak to považuje za potrebné. Ak je prítomný dostatočný počet hostiteľov, niektorí z nich môžu dokonca zvážiť účasť v jednej alebo druhej hre. Po skončení hostiteľ zavolá účastníkov späť a požiada ich o rýchlu spätnú väzbu. </w:t>
            </w:r>
          </w:p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Tento modul trvá približne do 30 minút.</w:t>
            </w:r>
          </w:p>
        </w:tc>
      </w:tr>
    </w:tbl>
    <w:p w:rsidRPr="00000000" w:rsidR="00000000" w:rsidDel="00000000" w:rsidP="00000000" w:rsidRDefault="00000000" w14:paraId="00000031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2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3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4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5">
      <w:pPr>
        <w:spacing w:line="276" w:lineRule="auto"/>
        <w:rPr/>
      </w:pPr>
      <w:r w:rsidRPr="00000000" w:rsidDel="00000000" w:rsidR="00000000">
        <w:rPr>
          <w:rtl w:val="0"/>
        </w:rPr>
      </w:r>
    </w:p>
    <w:sectPr>
      <w:headerReference w:type="default" r:id="rId7"/>
      <w:headerReference w:type="first" r:id="rId8"/>
      <w:headerReference w:type="even" r:id="rId9"/>
      <w:footerReference w:type="default" r:id="rId10"/>
      <w:footerReference w:type="first" r:id="rId11"/>
      <w:footerReference w:type="even" r:id="rId12"/>
      <w:pgSz w:w="11906" w:h="16838" w:orient="portrait"/>
      <w:pgMar w:top="1440" w:right="1440" w:bottom="1440" w:lef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9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A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B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6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>
    <w:pPr>
      <w:tabs>
        <w:tab w:val="center" w:leader="none" w:pos="4513"/>
        <w:tab w:val="right" w:leader="none" w:pos="9026"/>
      </w:tabs>
      <w:spacing w:after="0" w:lineRule="auto"/>
      <w:jc w:val="center"/>
      <w:rPr>
        <w:b w:val="1"/>
        <w:color w:val="1f497d"/>
        <w:sz w:val="28"/>
        <w:szCs w:val="28"/>
      </w:rPr>
    </w:pPr>
    <w:r w:rsidRPr="00000000" w:rsidDel="00000000" w:rsidR="00000000">
      <w:rPr>
        <w:b w:val="1"/>
        <w:color w:val="1f497d"/>
        <w:sz w:val="28"/>
        <w:szCs w:val="28"/>
        <w:vertAlign w:val="baseline"/>
        <w:rtl w:val="0"/>
      </w:rPr>
      <w:t xml:space="preserve">Zmiešané multilógy: posilnenie transformácie a inovácie vo vysokoškolskom vzdelávaní</w:t>
    </w:r>
    <w:r w:rsidRPr="00000000" w:rsidDel="00000000" w:rsidR="00000000">
      <w:rPr>
        <w:rtl w:val="0"/>
      </w:rPr>
    </w:r>
    <w:r w:rsidRPr="00000000" w:rsidDel="00000000" w:rsidR="00000000">
      <w:drawing>
        <wp:anchor distT="0" distB="0" distL="114300" distR="114300" simplePos="0" relativeHeight="0" behindDoc="0" locked="0" layoutInCell="1" hidden="0" allowOverlap="1">
          <wp:simplePos x="0" y="0"/>
          <wp:positionH relativeFrom="column">
            <wp:posOffset>-908049</wp:posOffset>
          </wp:positionH>
          <wp:positionV relativeFrom="paragraph">
            <wp:posOffset>-354329</wp:posOffset>
          </wp:positionV>
          <wp:extent cx="1720850" cy="490855"/>
          <wp:effectExtent l="0" t="0" r="0" b="0"/>
          <wp:wrapSquare wrapText="bothSides" distT="0" distB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720850" cy="490855"/>
                  </a:xfrm>
                  <a:prstGeom prst="rect"/>
                  <a:ln/>
                </pic:spPr>
              </pic:pic>
            </a:graphicData>
          </a:graphic>
        </wp:anchor>
      </w:drawing>
    </w:r>
    <w:r w:rsidRPr="00000000" w:rsidDel="00000000" w:rsidR="00000000">
      <w:drawing>
        <wp:anchor distT="0" distB="0" distL="114300" distR="114300" simplePos="0" relativeHeight="0" behindDoc="0" locked="0" layoutInCell="1" hidden="0" allowOverlap="1">
          <wp:simplePos x="0" y="0"/>
          <wp:positionH relativeFrom="column">
            <wp:posOffset>5638800</wp:posOffset>
          </wp:positionH>
          <wp:positionV relativeFrom="paragraph">
            <wp:posOffset>-411479</wp:posOffset>
          </wp:positionV>
          <wp:extent cx="885600" cy="885600"/>
          <wp:effectExtent l="0" t="0" r="0" b="0"/>
          <wp:wrapSquare wrapText="bothSides" distT="0" distB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885600" cy="885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8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hAnsi="Calibri" w:eastAsia="Calibri" w:cs="Calibri"/>
        <w:lang w:val="en-IE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after="60" w:lineRule="auto"/>
      <w:jc w:val="lef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240" w:after="8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b w:val="1"/>
      <w:i w:val="1"/>
    </w:rPr>
  </w:style>
  <w:style w:type="paragraph" w:styleId="Heading4">
    <w:name w:val="heading 4"/>
    <w:basedOn w:val="Normal"/>
    <w:next w:val="Normal"/>
    <w:pPr>
      <w:spacing w:before="240" w:after="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after="0" w:lineRule="auto"/>
      <w:jc w:val="left"/>
    </w:pPr>
    <w:rPr>
      <w:smallCaps w:val="1"/>
      <w:color w:val="988307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caf0a"/>
      <w:sz w:val="22"/>
      <w:szCs w:val="22"/>
    </w:rPr>
  </w:style>
  <w:style w:type="paragraph" w:styleId="Title">
    <w:name w:val="Title"/>
    <w:basedOn w:val="Normal"/>
    <w:next w:val="Normal"/>
    <w:pPr>
      <w:pBdr>
        <w:top w:val="single" w:color="ccaf0a" w:sz="12" w:space="1"/>
      </w:pBdr>
      <w:spacing w:after="60" w:lineRule="auto"/>
      <w:jc w:val="left"/>
    </w:pPr>
    <w:rPr>
      <w:rFonts w:ascii="Quattrocento Sans" w:hAnsi="Quattrocento Sans" w:eastAsia="Quattrocento Sans" w:cs="Quattrocento Sans"/>
      <w:sz w:val="36"/>
      <w:szCs w:val="36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spacing w:before="240" w:after="60"/>
      <w:jc w:val="left"/>
      <w:outlineLvl w:val="0"/>
    </w:pPr>
    <w:rPr>
      <w:b w:val="1"/>
      <w:sz w:val="24"/>
      <w:szCs w:val="24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spacing w:before="240" w:after="80"/>
      <w:jc w:val="left"/>
      <w:outlineLvl w:val="1"/>
    </w:pPr>
    <w:rPr>
      <w:smallCaps w:val="1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spacing w:after="0"/>
      <w:jc w:val="left"/>
      <w:outlineLvl w:val="2"/>
    </w:pPr>
    <w:rPr>
      <w:b w:val="1"/>
      <w:i w:val="1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spacing w:before="240" w:after="0"/>
      <w:jc w:val="left"/>
      <w:outlineLvl w:val="3"/>
    </w:pPr>
    <w:rPr>
      <w:smallCaps w:val="1"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spacing w:before="200" w:after="0"/>
      <w:jc w:val="left"/>
      <w:outlineLvl w:val="4"/>
    </w:pPr>
    <w:rPr>
      <w:smallCaps w:val="1"/>
      <w:color w:val="988307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spacing w:after="0"/>
      <w:jc w:val="left"/>
      <w:outlineLvl w:val="5"/>
    </w:pPr>
    <w:rPr>
      <w:smallCaps w:val="1"/>
      <w:color w:val="ccaf0a"/>
      <w:sz w:val="22"/>
      <w:szCs w:val="2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Titel">
    <w:name w:val="Title"/>
    <w:basedOn w:val="Standard"/>
    <w:next w:val="Standard"/>
    <w:uiPriority w:val="10"/>
    <w:qFormat w:val="1"/>
    <w:pPr>
      <w:pBdr>
        <w:top w:val="single" w:color="ccaf0a" w:sz="12" w:space="1"/>
      </w:pBdr>
      <w:spacing w:after="60"/>
      <w:jc w:val="left"/>
    </w:pPr>
    <w:rPr>
      <w:rFonts w:ascii="Quattrocento Sans" w:hAnsi="Quattrocento Sans" w:eastAsia="Quattrocento Sans" w:cs="Quattrocento Sans"/>
      <w:sz w:val="36"/>
      <w:szCs w:val="36"/>
    </w:rPr>
  </w:style>
  <w:style w:type="paragraph" w:styleId="Untertitel">
    <w:name w:val="Subtitle"/>
    <w:basedOn w:val="Standard"/>
    <w:next w:val="Standard"/>
    <w:uiPriority w:val="11"/>
    <w:qFormat w:val="1"/>
    <w:pPr>
      <w:spacing w:after="240"/>
      <w:jc w:val="left"/>
    </w:pPr>
    <w:rPr>
      <w:rFonts w:ascii="Quattrocento Sans" w:hAnsi="Quattrocento Sans" w:eastAsia="Quattrocento Sans" w:cs="Quattrocento Sans"/>
      <w:i w:val="1"/>
    </w:rPr>
  </w:style>
  <w:style w:type="table" w:styleId="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0" w:customStyle="1">
    <w:basedOn w:val="NormaleTabelle"/>
    <w:pPr>
      <w:spacing w:after="0"/>
    </w:pPr>
    <w:tblPr>
      <w:tblStyleRowBandSize w:val="1"/>
      <w:tblStyleColBandSize w:val="1"/>
    </w:tblPr>
  </w:style>
  <w:style w:type="table" w:styleId="a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6" w:customStyle="1">
    <w:basedOn w:val="NormaleTabelle"/>
    <w:pPr>
      <w:spacing w:after="0"/>
    </w:pPr>
    <w:tblPr>
      <w:tblStyleRowBandSize w:val="1"/>
      <w:tblStyleColBandSize w:val="1"/>
    </w:tblPr>
  </w:style>
  <w:style w:type="table" w:styleId="a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c" w:customStyle="1">
    <w:basedOn w:val="NormaleTabelle"/>
    <w:pPr>
      <w:spacing w:after="0"/>
    </w:pPr>
    <w:tblPr>
      <w:tblStyleRowBandSize w:val="1"/>
      <w:tblStyleColBandSize w:val="1"/>
    </w:tblPr>
  </w:style>
  <w:style w:type="table" w:styleId="ad" w:customStyle="1">
    <w:basedOn w:val="NormaleTabelle"/>
    <w:pPr>
      <w:spacing w:after="0"/>
    </w:pPr>
    <w:tblPr>
      <w:tblStyleRowBandSize w:val="1"/>
      <w:tblStyleColBandSize w:val="1"/>
    </w:tblPr>
  </w:style>
  <w:style w:type="table" w:styleId="ae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0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6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c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d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e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0" w:customStyle="1">
    <w:basedOn w:val="NormaleTabelle"/>
    <w:pPr>
      <w:spacing w:after="0"/>
    </w:pPr>
    <w:tblPr>
      <w:tblStyleRowBandSize w:val="1"/>
      <w:tblStyleColBandSize w:val="1"/>
    </w:tbl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</w:style>
  <w:style w:type="character" w:styleId="Kommentarzeichen">
    <w:name w:val="annotation reference"/>
    <w:basedOn w:val="Absatz-Standardschriftart"/>
    <w:uiPriority w:val="99"/>
    <w:semiHidden w:val="1"/>
    <w:unhideWhenUsed w:val="1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DF650B"/>
    <w:pPr>
      <w:spacing w:after="0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DF650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 w:val="1"/>
    <w:rsid w:val="00F55370"/>
    <w:rPr>
      <w:color w:val="0000ff"/>
      <w:u w:val="single"/>
    </w:rPr>
  </w:style>
  <w:style w:type="table" w:styleId="aff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6" w:customStyle="1">
    <w:basedOn w:val="NormaleTabelle"/>
    <w:pPr>
      <w:spacing w:after="0"/>
    </w:pPr>
    <w:tblPr>
      <w:tblStyleRowBandSize w:val="1"/>
      <w:tblStyleColBandSize w:val="1"/>
    </w:tblPr>
  </w:style>
  <w:style w:type="table" w:styleId="Tabellenraster">
    <w:name w:val="Table Grid"/>
    <w:basedOn w:val="NormaleTabelle"/>
    <w:uiPriority w:val="39"/>
    <w:rsid w:val="00392608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c" w:customStyle="1">
    <w:basedOn w:val="NormaleTabelle"/>
    <w:pPr>
      <w:spacing w:after="0"/>
    </w:pPr>
    <w:tblPr>
      <w:tblStyleRowBandSize w:val="1"/>
      <w:tblStyleColBandSize w:val="1"/>
    </w:tblPr>
  </w:style>
  <w:style w:type="paragraph" w:styleId="StandardWeb">
    <w:name w:val="Normal (Web)"/>
    <w:basedOn w:val="Standard"/>
    <w:uiPriority w:val="99"/>
    <w:semiHidden w:val="1"/>
    <w:unhideWhenUsed w:val="1"/>
    <w:rsid w:val="000D6EA3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 w:val="1"/>
    <w:rsid w:val="000D6EA3"/>
    <w:pPr>
      <w:spacing w:after="160" w:line="256" w:lineRule="auto"/>
      <w:ind w:left="720"/>
      <w:contextualSpacing w:val="1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berarbeitung">
    <w:name w:val="Revision"/>
    <w:hidden w:val="1"/>
    <w:uiPriority w:val="99"/>
    <w:semiHidden w:val="1"/>
    <w:rsid w:val="00AB5BA3"/>
    <w:pPr>
      <w:spacing w:after="0"/>
      <w:jc w:val="left"/>
    </w:pPr>
  </w:style>
  <w:style w:type="character" w:styleId="UnresolvedMention1" w:customStyle="1">
    <w:name w:val="Unresolved Mention1"/>
    <w:basedOn w:val="Absatz-Standardschriftart"/>
    <w:uiPriority w:val="99"/>
    <w:semiHidden w:val="1"/>
    <w:unhideWhenUsed w:val="1"/>
    <w:rsid w:val="00AB5BA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822DC7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B10ECF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B10ECF"/>
    <w:rPr>
      <w:b w:val="1"/>
      <w:bCs w:val="1"/>
    </w:rPr>
  </w:style>
  <w:style w:type="paragraph" w:styleId="Subtitle">
    <w:name w:val="Subtitle"/>
    <w:basedOn w:val="Normal"/>
    <w:next w:val="Normal"/>
    <w:pPr>
      <w:spacing w:after="240" w:lineRule="auto"/>
      <w:jc w:val="left"/>
    </w:pPr>
    <w:rPr>
      <w:rFonts w:ascii="Quattrocento Sans" w:hAnsi="Quattrocento Sans" w:eastAsia="Quattrocento Sans" w:cs="Quattrocento Sans"/>
      <w:i w:val="1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EdGP0763VCnRFfI/Vv9++15vfA==">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2024-07-10T14:54:00.0000000Z</dcterms:created>
  <keywords>, docId:4265C38C8E739DF215468D801C1E2802</keywords>
</coreProperties>
</file>