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76" w:lineRule="auto"/>
        <w:jc w:val="left"/>
        <w:rPr>
          <w:rFonts w:ascii="Arial" w:cs="Arial" w:eastAsia="Arial" w:hAnsi="Arial"/>
          <w:b w:val="1"/>
          <w:sz w:val="22"/>
          <w:szCs w:val="22"/>
        </w:rPr>
      </w:pPr>
      <w:bookmarkStart w:colFirst="0" w:colLast="0" w:name="_heading=h.gjdgxs" w:id="0"/>
      <w:bookmarkEnd w:id="0"/>
      <w:r w:rsidDel="00000000" w:rsidR="00000000" w:rsidRPr="00000000">
        <w:rPr>
          <w:rtl w:val="0"/>
        </w:rPr>
      </w:r>
    </w:p>
    <w:tbl>
      <w:tblPr>
        <w:tblStyle w:val="Table1"/>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0"/>
        <w:gridCol w:w="6839"/>
        <w:tblGridChange w:id="0">
          <w:tblGrid>
            <w:gridCol w:w="2370"/>
            <w:gridCol w:w="6839"/>
          </w:tblGrid>
        </w:tblGridChange>
      </w:tblGrid>
      <w:tr>
        <w:trPr>
          <w:cantSplit w:val="0"/>
          <w:tblHeader w:val="0"/>
        </w:trPr>
        <w:tc>
          <w:tcPr>
            <w:gridSpan w:val="2"/>
            <w:shd w:fill="cbcdd1" w:val="clear"/>
          </w:tcPr>
          <w:p w:rsidR="00000000" w:rsidDel="00000000" w:rsidP="00000000" w:rsidRDefault="00000000" w:rsidRPr="00000000" w14:paraId="00000002">
            <w:pPr>
              <w:spacing w:line="276" w:lineRule="auto"/>
              <w:jc w:val="center"/>
              <w:rPr>
                <w:b w:val="1"/>
              </w:rPr>
            </w:pPr>
            <w:r w:rsidDel="00000000" w:rsidR="00000000" w:rsidRPr="00000000">
              <w:rPr>
                <w:b w:val="1"/>
                <w:rtl w:val="0"/>
              </w:rPr>
              <w:t xml:space="preserve">DETALJER FÖR EVENEMANGET</w:t>
            </w:r>
          </w:p>
        </w:tc>
      </w:tr>
      <w:tr>
        <w:trPr>
          <w:cantSplit w:val="0"/>
          <w:trHeight w:val="260" w:hRule="atLeast"/>
          <w:tblHeader w:val="0"/>
        </w:trPr>
        <w:tc>
          <w:tcPr>
            <w:shd w:fill="b8cce4" w:val="clear"/>
          </w:tcPr>
          <w:p w:rsidR="00000000" w:rsidDel="00000000" w:rsidP="00000000" w:rsidRDefault="00000000" w:rsidRPr="00000000" w14:paraId="00000004">
            <w:pPr>
              <w:spacing w:line="276" w:lineRule="auto"/>
              <w:rPr/>
            </w:pPr>
            <w:r w:rsidDel="00000000" w:rsidR="00000000" w:rsidRPr="00000000">
              <w:rPr>
                <w:rtl w:val="0"/>
              </w:rPr>
              <w:t xml:space="preserve">Evenemangets namn</w:t>
            </w:r>
          </w:p>
        </w:tc>
        <w:tc>
          <w:tcPr>
            <w:shd w:fill="b8cce4" w:val="clear"/>
          </w:tcPr>
          <w:p w:rsidR="00000000" w:rsidDel="00000000" w:rsidP="00000000" w:rsidRDefault="00000000" w:rsidRPr="00000000" w14:paraId="00000005">
            <w:pPr>
              <w:spacing w:line="276" w:lineRule="auto"/>
              <w:rPr/>
            </w:pPr>
            <w:r w:rsidDel="00000000" w:rsidR="00000000" w:rsidRPr="00000000">
              <w:rPr>
                <w:rtl w:val="0"/>
              </w:rPr>
              <w:t xml:space="preserve">Multiplier Event</w:t>
            </w:r>
          </w:p>
        </w:tc>
      </w:tr>
      <w:tr>
        <w:trPr>
          <w:cantSplit w:val="0"/>
          <w:trHeight w:val="3135" w:hRule="atLeast"/>
          <w:tblHeader w:val="0"/>
        </w:trPr>
        <w:tc>
          <w:tcPr>
            <w:shd w:fill="cbcdd1" w:val="clear"/>
          </w:tcPr>
          <w:p w:rsidR="00000000" w:rsidDel="00000000" w:rsidP="00000000" w:rsidRDefault="00000000" w:rsidRPr="00000000" w14:paraId="00000006">
            <w:pPr>
              <w:spacing w:line="276" w:lineRule="auto"/>
              <w:rPr/>
            </w:pPr>
            <w:r w:rsidDel="00000000" w:rsidR="00000000" w:rsidRPr="00000000">
              <w:rPr>
                <w:rtl w:val="0"/>
              </w:rPr>
              <w:t xml:space="preserve">Evenemangsbeskrivning:</w:t>
            </w:r>
          </w:p>
        </w:tc>
        <w:tc>
          <w:tcPr/>
          <w:p w:rsidR="00000000" w:rsidDel="00000000" w:rsidP="00000000" w:rsidRDefault="00000000" w:rsidRPr="00000000" w14:paraId="00000007">
            <w:pPr>
              <w:spacing w:after="160" w:line="276" w:lineRule="auto"/>
              <w:rPr/>
            </w:pPr>
            <w:bookmarkStart w:colFirst="0" w:colLast="0" w:name="_heading=h.1fob9te" w:id="1"/>
            <w:bookmarkEnd w:id="1"/>
            <w:r w:rsidDel="00000000" w:rsidR="00000000" w:rsidRPr="00000000">
              <w:rPr>
                <w:rtl w:val="0"/>
              </w:rPr>
              <w:t xml:space="preserve">Denna utbildning för utbildare (train-the-trainer) och multiplikatorer (multipliers) fokuserar blandade multiloger inom högre utbildning (HE). Utifrån den tidigare etablerade verktygslådan diskuterar utbildningen de mest lovande verktygen och ger mer detaljerad vägledning avseende hur man kan använda de olika metoderna inom högskolans verksamhet. Det ger insikter i vilka tekniska färdigheter en utbildare behöver för att ta till sig och förklara effektiva pedagogiska och didaktiska strategier för att underlätta multiloger med olika metoder. Syftet är att förbättra föreläsarnas förmåga att lära ut och tillämpa dessa metoder, och att uppmuntra dem till fortsatt professionell utveckling. Utbildningen strävar efter att fånga upp och använda utbildarnas egna erfarenheter när det gäller vilka frågor multilogen tar upp. Detta är särskilt viktigt eftersom utbildningen som sådan inte märkbart kommer att ta upp perspektiv från olika intressenter.</w:t>
            </w:r>
          </w:p>
        </w:tc>
      </w:tr>
    </w:tbl>
    <w:p w:rsidR="00000000" w:rsidDel="00000000" w:rsidP="00000000" w:rsidRDefault="00000000" w:rsidRPr="00000000" w14:paraId="00000008">
      <w:pPr>
        <w:spacing w:line="276" w:lineRule="auto"/>
        <w:rPr/>
      </w:pPr>
      <w:r w:rsidDel="00000000" w:rsidR="00000000" w:rsidRPr="00000000">
        <w:rPr>
          <w:rtl w:val="0"/>
        </w:rPr>
      </w:r>
    </w:p>
    <w:tbl>
      <w:tblPr>
        <w:tblStyle w:val="Table2"/>
        <w:tblW w:w="91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95"/>
        <w:tblGridChange w:id="0">
          <w:tblGrid>
            <w:gridCol w:w="9195"/>
          </w:tblGrid>
        </w:tblGridChange>
      </w:tblGrid>
      <w:tr>
        <w:trPr>
          <w:cantSplit w:val="0"/>
          <w:tblHeader w:val="0"/>
        </w:trPr>
        <w:tc>
          <w:tcPr>
            <w:shd w:fill="bfbfbf" w:val="clear"/>
          </w:tcPr>
          <w:p w:rsidR="00000000" w:rsidDel="00000000" w:rsidP="00000000" w:rsidRDefault="00000000" w:rsidRPr="00000000" w14:paraId="00000009">
            <w:pPr>
              <w:spacing w:line="276" w:lineRule="auto"/>
              <w:jc w:val="center"/>
              <w:rPr>
                <w:b w:val="1"/>
              </w:rPr>
            </w:pPr>
            <w:r w:rsidDel="00000000" w:rsidR="00000000" w:rsidRPr="00000000">
              <w:rPr>
                <w:b w:val="1"/>
                <w:rtl w:val="0"/>
              </w:rPr>
              <w:t xml:space="preserve">MÅLGRUPP OCH KULTURELLA ÖVERVÄGANDEN</w:t>
            </w:r>
          </w:p>
        </w:tc>
      </w:tr>
      <w:tr>
        <w:trPr>
          <w:cantSplit w:val="0"/>
          <w:trHeight w:val="3980" w:hRule="atLeast"/>
          <w:tblHeader w:val="0"/>
        </w:trPr>
        <w:tc>
          <w:tcPr/>
          <w:p w:rsidR="00000000" w:rsidDel="00000000" w:rsidP="00000000" w:rsidRDefault="00000000" w:rsidRPr="00000000" w14:paraId="0000000A">
            <w:pPr>
              <w:spacing w:line="276" w:lineRule="auto"/>
              <w:rPr/>
            </w:pPr>
            <w:r w:rsidDel="00000000" w:rsidR="00000000" w:rsidRPr="00000000">
              <w:rPr>
                <w:rtl w:val="0"/>
              </w:rPr>
              <w:t xml:space="preserve">Dessa moduler utgör ett ramverk för att utbilda lärare i hur man använder multiloger i blandat format, vilket gör lärare inom högre utbildning till den viktigaste målgruppen. Lärare är ofta vana vid att använda traditionella undervisningsmetoder i analoga miljöer, och multilogprojektets verktygslåda och resultat är tänkta att skapa en större mångfald.</w:t>
            </w:r>
          </w:p>
          <w:p w:rsidR="00000000" w:rsidDel="00000000" w:rsidP="00000000" w:rsidRDefault="00000000" w:rsidRPr="00000000" w14:paraId="0000000B">
            <w:pPr>
              <w:spacing w:line="276" w:lineRule="auto"/>
              <w:rPr/>
            </w:pPr>
            <w:r w:rsidDel="00000000" w:rsidR="00000000" w:rsidRPr="00000000">
              <w:rPr>
                <w:rtl w:val="0"/>
              </w:rPr>
              <w:t xml:space="preserve">Dessutom är syftet att sprida idén om multiloger. Målgruppen är därför inte nödvändigtvis bara lärare utan även de som kan räknas som multiplikatorer (multipliers), till exempel personer som ansvarar för utbildningsprogram liksom projekt- och programsamordnare på högskolan.</w:t>
            </w:r>
          </w:p>
          <w:p w:rsidR="00000000" w:rsidDel="00000000" w:rsidP="00000000" w:rsidRDefault="00000000" w:rsidRPr="00000000" w14:paraId="0000000C">
            <w:pPr>
              <w:spacing w:line="276" w:lineRule="auto"/>
              <w:rPr/>
            </w:pPr>
            <w:r w:rsidDel="00000000" w:rsidR="00000000" w:rsidRPr="00000000">
              <w:rPr>
                <w:rtl w:val="0"/>
              </w:rPr>
              <w:t xml:space="preserve">Slutligen lever en multilog på sina olika intressenter. Utbildningen för utbildare kan också gynnas av engagerade deltagare som inte är direkt kopplade till högskolan. Helst skulle dessa deltagare ändå vara potentiella medarbetare vid högskoleinstitutioner och själva initiativtagare till en multilog. Dessa kan bland annat vara icke-statliga organisationer eller statliga organisationer.</w:t>
            </w:r>
          </w:p>
          <w:p w:rsidR="00000000" w:rsidDel="00000000" w:rsidP="00000000" w:rsidRDefault="00000000" w:rsidRPr="00000000" w14:paraId="0000000D">
            <w:pPr>
              <w:spacing w:line="276" w:lineRule="auto"/>
              <w:rPr/>
            </w:pPr>
            <w:r w:rsidDel="00000000" w:rsidR="00000000" w:rsidRPr="00000000">
              <w:rPr>
                <w:rtl w:val="0"/>
              </w:rPr>
              <w:t xml:space="preserve">Eftersom utbildningar för utbildare (kan) äga rum i olika länder måste det kulturella sammanhanget beaktas. För att möjliggöra anpassning efter kulturella och andra skillnader har vi tillhandahållit olika moduler för evenemanget, och dessa kan kombineras efter behov.</w:t>
            </w:r>
          </w:p>
        </w:tc>
      </w:tr>
    </w:tbl>
    <w:p w:rsidR="00000000" w:rsidDel="00000000" w:rsidP="00000000" w:rsidRDefault="00000000" w:rsidRPr="00000000" w14:paraId="0000000E">
      <w:pPr>
        <w:spacing w:line="276" w:lineRule="auto"/>
        <w:rPr/>
      </w:pPr>
      <w:r w:rsidDel="00000000" w:rsidR="00000000" w:rsidRPr="00000000">
        <w:rPr>
          <w:rtl w:val="0"/>
        </w:rPr>
      </w:r>
    </w:p>
    <w:tbl>
      <w:tblPr>
        <w:tblStyle w:val="Table3"/>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4"/>
        <w:gridCol w:w="7858"/>
        <w:tblGridChange w:id="0">
          <w:tblGrid>
            <w:gridCol w:w="1384"/>
            <w:gridCol w:w="7858"/>
          </w:tblGrid>
        </w:tblGridChange>
      </w:tblGrid>
      <w:tr>
        <w:trPr>
          <w:cantSplit w:val="0"/>
          <w:tblHeader w:val="0"/>
        </w:trPr>
        <w:tc>
          <w:tcPr>
            <w:gridSpan w:val="2"/>
            <w:shd w:fill="cbcdd1" w:val="clear"/>
          </w:tcPr>
          <w:p w:rsidR="00000000" w:rsidDel="00000000" w:rsidP="00000000" w:rsidRDefault="00000000" w:rsidRPr="00000000" w14:paraId="0000000F">
            <w:pPr>
              <w:spacing w:line="276" w:lineRule="auto"/>
              <w:jc w:val="center"/>
              <w:rPr>
                <w:b w:val="1"/>
              </w:rPr>
            </w:pPr>
            <w:r w:rsidDel="00000000" w:rsidR="00000000" w:rsidRPr="00000000">
              <w:rPr>
                <w:b w:val="1"/>
                <w:rtl w:val="0"/>
              </w:rPr>
              <w:t xml:space="preserve">UTBILDNINGENS RESULTAT (kunskap och färdigheter)</w:t>
            </w:r>
          </w:p>
        </w:tc>
      </w:tr>
      <w:tr>
        <w:trPr>
          <w:cantSplit w:val="0"/>
          <w:tblHeader w:val="0"/>
        </w:trPr>
        <w:tc>
          <w:tcPr>
            <w:gridSpan w:val="2"/>
            <w:shd w:fill="cbcdd1" w:val="clear"/>
          </w:tcPr>
          <w:p w:rsidR="00000000" w:rsidDel="00000000" w:rsidP="00000000" w:rsidRDefault="00000000" w:rsidRPr="00000000" w14:paraId="00000011">
            <w:pPr>
              <w:spacing w:line="276" w:lineRule="auto"/>
              <w:jc w:val="left"/>
              <w:rPr>
                <w:b w:val="1"/>
              </w:rPr>
            </w:pPr>
            <w:r w:rsidDel="00000000" w:rsidR="00000000" w:rsidRPr="00000000">
              <w:rPr>
                <w:b w:val="1"/>
                <w:rtl w:val="0"/>
              </w:rPr>
              <w:t xml:space="preserve">Efter genomgånget multiplikatorevenemang kommer läraren att ha:</w:t>
            </w:r>
          </w:p>
        </w:tc>
      </w:tr>
      <w:tr>
        <w:trPr>
          <w:cantSplit w:val="0"/>
          <w:tblHeader w:val="0"/>
        </w:trPr>
        <w:tc>
          <w:tcPr/>
          <w:p w:rsidR="00000000" w:rsidDel="00000000" w:rsidP="00000000" w:rsidRDefault="00000000" w:rsidRPr="00000000" w14:paraId="00000013">
            <w:pPr>
              <w:spacing w:line="276" w:lineRule="auto"/>
              <w:rPr/>
            </w:pPr>
            <w:r w:rsidDel="00000000" w:rsidR="00000000" w:rsidRPr="00000000">
              <w:rPr>
                <w:rtl w:val="0"/>
              </w:rPr>
              <w:t xml:space="preserve">LO1</w:t>
            </w:r>
          </w:p>
        </w:tc>
        <w:tc>
          <w:tcPr/>
          <w:p w:rsidR="00000000" w:rsidDel="00000000" w:rsidP="00000000" w:rsidRDefault="00000000" w:rsidRPr="00000000" w14:paraId="00000014">
            <w:pPr>
              <w:widowControl w:val="0"/>
              <w:spacing w:after="240" w:line="276" w:lineRule="auto"/>
              <w:jc w:val="left"/>
              <w:rPr/>
            </w:pPr>
            <w:r w:rsidDel="00000000" w:rsidR="00000000" w:rsidRPr="00000000">
              <w:rPr>
                <w:rtl w:val="0"/>
              </w:rPr>
              <w:t xml:space="preserve">fyllt i självskattningsformuläret för att ha fått en uppfattning om sina egna befintliga färdigheter i relation till de färdigheter som behövs för en multilog.</w:t>
            </w:r>
          </w:p>
        </w:tc>
      </w:tr>
      <w:tr>
        <w:trPr>
          <w:cantSplit w:val="0"/>
          <w:tblHeader w:val="0"/>
        </w:trPr>
        <w:tc>
          <w:tcPr/>
          <w:p w:rsidR="00000000" w:rsidDel="00000000" w:rsidP="00000000" w:rsidRDefault="00000000" w:rsidRPr="00000000" w14:paraId="00000015">
            <w:pPr>
              <w:spacing w:line="276" w:lineRule="auto"/>
              <w:rPr/>
            </w:pPr>
            <w:r w:rsidDel="00000000" w:rsidR="00000000" w:rsidRPr="00000000">
              <w:rPr>
                <w:rtl w:val="0"/>
              </w:rPr>
              <w:t xml:space="preserve">LO2</w:t>
            </w:r>
          </w:p>
        </w:tc>
        <w:tc>
          <w:tcPr/>
          <w:p w:rsidR="00000000" w:rsidDel="00000000" w:rsidP="00000000" w:rsidRDefault="00000000" w:rsidRPr="00000000" w14:paraId="00000016">
            <w:pPr>
              <w:widowControl w:val="0"/>
              <w:spacing w:after="240" w:line="276" w:lineRule="auto"/>
              <w:jc w:val="left"/>
              <w:rPr/>
            </w:pPr>
            <w:r w:rsidDel="00000000" w:rsidR="00000000" w:rsidRPr="00000000">
              <w:rPr>
                <w:rtl w:val="0"/>
              </w:rPr>
              <w:t xml:space="preserve">introducerats till verktygslådan.</w:t>
            </w:r>
          </w:p>
        </w:tc>
      </w:tr>
      <w:tr>
        <w:trPr>
          <w:cantSplit w:val="0"/>
          <w:tblHeader w:val="0"/>
        </w:trPr>
        <w:tc>
          <w:tcPr/>
          <w:p w:rsidR="00000000" w:rsidDel="00000000" w:rsidP="00000000" w:rsidRDefault="00000000" w:rsidRPr="00000000" w14:paraId="00000017">
            <w:pPr>
              <w:spacing w:line="276" w:lineRule="auto"/>
              <w:rPr/>
            </w:pPr>
            <w:r w:rsidDel="00000000" w:rsidR="00000000" w:rsidRPr="00000000">
              <w:rPr>
                <w:rtl w:val="0"/>
              </w:rPr>
              <w:t xml:space="preserve">LO3</w:t>
            </w:r>
          </w:p>
        </w:tc>
        <w:tc>
          <w:tcPr/>
          <w:p w:rsidR="00000000" w:rsidDel="00000000" w:rsidP="00000000" w:rsidRDefault="00000000" w:rsidRPr="00000000" w14:paraId="00000018">
            <w:pPr>
              <w:spacing w:after="240" w:line="276" w:lineRule="auto"/>
              <w:rPr/>
            </w:pPr>
            <w:r w:rsidDel="00000000" w:rsidR="00000000" w:rsidRPr="00000000">
              <w:rPr>
                <w:rtl w:val="0"/>
              </w:rPr>
              <w:t xml:space="preserve">fått kunskap om hur verktygslådan kan användas.</w:t>
            </w:r>
          </w:p>
        </w:tc>
      </w:tr>
      <w:tr>
        <w:trPr>
          <w:cantSplit w:val="0"/>
          <w:tblHeader w:val="0"/>
        </w:trPr>
        <w:tc>
          <w:tcPr/>
          <w:p w:rsidR="00000000" w:rsidDel="00000000" w:rsidP="00000000" w:rsidRDefault="00000000" w:rsidRPr="00000000" w14:paraId="00000019">
            <w:pPr>
              <w:spacing w:line="276" w:lineRule="auto"/>
              <w:rPr/>
            </w:pPr>
            <w:r w:rsidDel="00000000" w:rsidR="00000000" w:rsidRPr="00000000">
              <w:rPr>
                <w:rtl w:val="0"/>
              </w:rPr>
              <w:t xml:space="preserve">LO4</w:t>
            </w:r>
          </w:p>
        </w:tc>
        <w:tc>
          <w:tcPr/>
          <w:p w:rsidR="00000000" w:rsidDel="00000000" w:rsidP="00000000" w:rsidRDefault="00000000" w:rsidRPr="00000000" w14:paraId="0000001A">
            <w:pPr>
              <w:widowControl w:val="0"/>
              <w:spacing w:after="240" w:line="276" w:lineRule="auto"/>
              <w:jc w:val="left"/>
              <w:rPr/>
            </w:pPr>
            <w:r w:rsidDel="00000000" w:rsidR="00000000" w:rsidRPr="00000000">
              <w:rPr>
                <w:rtl w:val="0"/>
              </w:rPr>
              <w:t xml:space="preserve">fått vägledning om vilka färdigheter som behövs för en multilog</w:t>
            </w:r>
          </w:p>
        </w:tc>
      </w:tr>
      <w:tr>
        <w:trPr>
          <w:cantSplit w:val="0"/>
          <w:tblHeader w:val="0"/>
        </w:trPr>
        <w:tc>
          <w:tcPr/>
          <w:p w:rsidR="00000000" w:rsidDel="00000000" w:rsidP="00000000" w:rsidRDefault="00000000" w:rsidRPr="00000000" w14:paraId="0000001B">
            <w:pPr>
              <w:spacing w:line="276" w:lineRule="auto"/>
              <w:rPr/>
            </w:pPr>
            <w:r w:rsidDel="00000000" w:rsidR="00000000" w:rsidRPr="00000000">
              <w:rPr>
                <w:rtl w:val="0"/>
              </w:rPr>
              <w:t xml:space="preserve">LO5</w:t>
            </w:r>
          </w:p>
        </w:tc>
        <w:tc>
          <w:tcPr/>
          <w:p w:rsidR="00000000" w:rsidDel="00000000" w:rsidP="00000000" w:rsidRDefault="00000000" w:rsidRPr="00000000" w14:paraId="0000001C">
            <w:pPr>
              <w:widowControl w:val="0"/>
              <w:spacing w:after="240" w:line="276" w:lineRule="auto"/>
              <w:jc w:val="left"/>
              <w:rPr/>
            </w:pPr>
            <w:r w:rsidDel="00000000" w:rsidR="00000000" w:rsidRPr="00000000">
              <w:rPr>
                <w:rtl w:val="0"/>
              </w:rPr>
              <w:t xml:space="preserve">förstått vilka pedagogiska och didaktiska strategier som behövs för att skapa en multilog.</w:t>
            </w:r>
          </w:p>
        </w:tc>
      </w:tr>
      <w:tr>
        <w:trPr>
          <w:cantSplit w:val="0"/>
          <w:tblHeader w:val="0"/>
        </w:trPr>
        <w:tc>
          <w:tcPr/>
          <w:p w:rsidR="00000000" w:rsidDel="00000000" w:rsidP="00000000" w:rsidRDefault="00000000" w:rsidRPr="00000000" w14:paraId="0000001D">
            <w:pPr>
              <w:spacing w:line="276" w:lineRule="auto"/>
              <w:rPr/>
            </w:pPr>
            <w:r w:rsidDel="00000000" w:rsidR="00000000" w:rsidRPr="00000000">
              <w:rPr>
                <w:rtl w:val="0"/>
              </w:rPr>
              <w:t xml:space="preserve">LO6</w:t>
            </w:r>
          </w:p>
        </w:tc>
        <w:tc>
          <w:tcPr/>
          <w:p w:rsidR="00000000" w:rsidDel="00000000" w:rsidP="00000000" w:rsidRDefault="00000000" w:rsidRPr="00000000" w14:paraId="0000001E">
            <w:pPr>
              <w:widowControl w:val="0"/>
              <w:spacing w:after="240" w:line="276" w:lineRule="auto"/>
              <w:jc w:val="left"/>
              <w:rPr/>
            </w:pPr>
            <w:r w:rsidDel="00000000" w:rsidR="00000000" w:rsidRPr="00000000">
              <w:rPr>
                <w:rtl w:val="0"/>
              </w:rPr>
              <w:t xml:space="preserve">introducerats för ett antal specifika verktyg.</w:t>
            </w:r>
          </w:p>
        </w:tc>
      </w:tr>
      <w:tr>
        <w:trPr>
          <w:cantSplit w:val="0"/>
          <w:tblHeader w:val="0"/>
        </w:trPr>
        <w:tc>
          <w:tcPr/>
          <w:p w:rsidR="00000000" w:rsidDel="00000000" w:rsidP="00000000" w:rsidRDefault="00000000" w:rsidRPr="00000000" w14:paraId="0000001F">
            <w:pPr>
              <w:spacing w:line="276" w:lineRule="auto"/>
              <w:rPr/>
            </w:pPr>
            <w:r w:rsidDel="00000000" w:rsidR="00000000" w:rsidRPr="00000000">
              <w:rPr>
                <w:rtl w:val="0"/>
              </w:rPr>
              <w:t xml:space="preserve">LO7</w:t>
            </w:r>
          </w:p>
        </w:tc>
        <w:tc>
          <w:tcPr/>
          <w:p w:rsidR="00000000" w:rsidDel="00000000" w:rsidP="00000000" w:rsidRDefault="00000000" w:rsidRPr="00000000" w14:paraId="00000020">
            <w:pPr>
              <w:widowControl w:val="0"/>
              <w:spacing w:after="240" w:line="276" w:lineRule="auto"/>
              <w:jc w:val="left"/>
              <w:rPr/>
            </w:pPr>
            <w:r w:rsidDel="00000000" w:rsidR="00000000" w:rsidRPr="00000000">
              <w:rPr>
                <w:rtl w:val="0"/>
              </w:rPr>
              <w:t xml:space="preserve">fått vägledning i hur andra utbildare kan tränas.</w:t>
            </w:r>
          </w:p>
        </w:tc>
      </w:tr>
      <w:tr>
        <w:trPr>
          <w:cantSplit w:val="0"/>
          <w:tblHeader w:val="0"/>
        </w:trPr>
        <w:tc>
          <w:tcPr/>
          <w:p w:rsidR="00000000" w:rsidDel="00000000" w:rsidP="00000000" w:rsidRDefault="00000000" w:rsidRPr="00000000" w14:paraId="00000021">
            <w:pPr>
              <w:spacing w:line="276" w:lineRule="auto"/>
              <w:rPr/>
            </w:pPr>
            <w:r w:rsidDel="00000000" w:rsidR="00000000" w:rsidRPr="00000000">
              <w:rPr>
                <w:rtl w:val="0"/>
              </w:rPr>
              <w:t xml:space="preserve">LO8</w:t>
            </w:r>
          </w:p>
        </w:tc>
        <w:tc>
          <w:tcPr/>
          <w:p w:rsidR="00000000" w:rsidDel="00000000" w:rsidP="00000000" w:rsidRDefault="00000000" w:rsidRPr="00000000" w14:paraId="00000022">
            <w:pPr>
              <w:rPr/>
            </w:pPr>
            <w:r w:rsidDel="00000000" w:rsidR="00000000" w:rsidRPr="00000000">
              <w:rPr>
                <w:rtl w:val="0"/>
              </w:rPr>
              <w:t xml:space="preserve">blivit uppmuntrad att sprida idén om multiloger.</w:t>
            </w:r>
          </w:p>
        </w:tc>
      </w:tr>
    </w:tbl>
    <w:p w:rsidR="00000000" w:rsidDel="00000000" w:rsidP="00000000" w:rsidRDefault="00000000" w:rsidRPr="00000000" w14:paraId="00000023">
      <w:pPr>
        <w:spacing w:line="276" w:lineRule="auto"/>
        <w:rPr>
          <w:b w:val="1"/>
        </w:rPr>
      </w:pPr>
      <w:r w:rsidDel="00000000" w:rsidR="00000000" w:rsidRPr="00000000">
        <w:rPr>
          <w:rtl w:val="0"/>
        </w:rPr>
      </w:r>
    </w:p>
    <w:tbl>
      <w:tblPr>
        <w:tblStyle w:val="Table4"/>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rHeight w:val="590" w:hRule="atLeast"/>
          <w:tblHeader w:val="0"/>
        </w:trPr>
        <w:tc>
          <w:tcPr>
            <w:shd w:fill="cbcdd1" w:val="clear"/>
          </w:tcPr>
          <w:p w:rsidR="00000000" w:rsidDel="00000000" w:rsidP="00000000" w:rsidRDefault="00000000" w:rsidRPr="00000000" w14:paraId="00000024">
            <w:pPr>
              <w:spacing w:line="276" w:lineRule="auto"/>
              <w:jc w:val="center"/>
              <w:rPr>
                <w:b w:val="1"/>
              </w:rPr>
            </w:pPr>
            <w:bookmarkStart w:colFirst="0" w:colLast="0" w:name="_heading=h.kpcfmik2eimq" w:id="2"/>
            <w:bookmarkEnd w:id="2"/>
            <w:r w:rsidDel="00000000" w:rsidR="00000000" w:rsidRPr="00000000">
              <w:rPr>
                <w:b w:val="1"/>
                <w:rtl w:val="0"/>
              </w:rPr>
              <w:t xml:space="preserve">INNEHÅLL (lista med ämnen som omfattas)</w:t>
            </w:r>
          </w:p>
          <w:p w:rsidR="00000000" w:rsidDel="00000000" w:rsidP="00000000" w:rsidRDefault="00000000" w:rsidRPr="00000000" w14:paraId="00000025">
            <w:pPr>
              <w:spacing w:line="276" w:lineRule="auto"/>
              <w:jc w:val="center"/>
              <w:rPr>
                <w:b w:val="1"/>
              </w:rPr>
            </w:pPr>
            <w:r w:rsidDel="00000000" w:rsidR="00000000" w:rsidRPr="00000000">
              <w:rPr>
                <w:b w:val="1"/>
                <w:rtl w:val="0"/>
              </w:rPr>
              <w:t xml:space="preserve">Detaljerad kursplan och kommentarer till innehållet</w:t>
            </w:r>
          </w:p>
        </w:tc>
      </w:tr>
      <w:tr>
        <w:trPr>
          <w:cantSplit w:val="0"/>
          <w:trHeight w:val="1328" w:hRule="atLeast"/>
          <w:tblHeader w:val="0"/>
        </w:trPr>
        <w:tc>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76" w:lineRule="auto"/>
              <w:ind w:left="720" w:firstLine="0"/>
              <w:rPr>
                <w:rFonts w:ascii="Cambria" w:cs="Cambria" w:eastAsia="Cambria" w:hAnsi="Cambria"/>
                <w:color w:val="000000"/>
                <w:sz w:val="22"/>
                <w:szCs w:val="22"/>
              </w:rPr>
            </w:pPr>
            <w:r w:rsidDel="00000000" w:rsidR="00000000" w:rsidRPr="00000000">
              <w:rPr>
                <w:color w:val="000000"/>
                <w:rtl w:val="0"/>
              </w:rPr>
              <w:t xml:space="preserve">Kursplanen kan anpassas efter personliga syften och behov. Eftersom kursdeltagarna i viss mån kommer att vara olika, liksom den institution som står värd för utbildningen, behövs flexibilitet. Därför tillhandahålls flera olika moduler, som kan kombineras och struktureras till önskat upplägg för evenemanget. I några av modulerna rekommenderas ett specifikt upplägg.</w:t>
            </w:r>
            <w:r w:rsidDel="00000000" w:rsidR="00000000" w:rsidRPr="00000000">
              <w:rPr>
                <w:rtl w:val="0"/>
              </w:rPr>
            </w:r>
          </w:p>
        </w:tc>
      </w:tr>
    </w:tbl>
    <w:p w:rsidR="00000000" w:rsidDel="00000000" w:rsidP="00000000" w:rsidRDefault="00000000" w:rsidRPr="00000000" w14:paraId="00000027">
      <w:pPr>
        <w:spacing w:line="276" w:lineRule="auto"/>
        <w:rPr/>
      </w:pPr>
      <w:r w:rsidDel="00000000" w:rsidR="00000000" w:rsidRPr="00000000">
        <w:rPr>
          <w:rtl w:val="0"/>
        </w:rPr>
        <w:t xml:space="preserve"> </w:t>
      </w:r>
    </w:p>
    <w:tbl>
      <w:tblPr>
        <w:tblStyle w:val="Table5"/>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blHeader w:val="0"/>
        </w:trPr>
        <w:tc>
          <w:tcPr>
            <w:shd w:fill="d9d9d9" w:val="clear"/>
          </w:tcPr>
          <w:p w:rsidR="00000000" w:rsidDel="00000000" w:rsidP="00000000" w:rsidRDefault="00000000" w:rsidRPr="00000000" w14:paraId="00000028">
            <w:pPr>
              <w:spacing w:line="276" w:lineRule="auto"/>
              <w:jc w:val="center"/>
              <w:rPr>
                <w:b w:val="1"/>
              </w:rPr>
            </w:pPr>
            <w:r w:rsidDel="00000000" w:rsidR="00000000" w:rsidRPr="00000000">
              <w:rPr>
                <w:b w:val="1"/>
                <w:rtl w:val="0"/>
              </w:rPr>
              <w:t xml:space="preserve">MÖJLIGA VERKTYG, METODER OCH RESURSER</w:t>
            </w:r>
          </w:p>
        </w:tc>
      </w:tr>
    </w:tbl>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0" w:line="276" w:lineRule="auto"/>
        <w:jc w:val="left"/>
        <w:rPr>
          <w:b w:val="1"/>
        </w:rPr>
      </w:pPr>
      <w:r w:rsidDel="00000000" w:rsidR="00000000" w:rsidRPr="00000000">
        <w:rPr>
          <w:rtl w:val="0"/>
        </w:rPr>
      </w:r>
    </w:p>
    <w:tbl>
      <w:tblPr>
        <w:tblStyle w:val="Table6"/>
        <w:tblW w:w="9204.0" w:type="dxa"/>
        <w:jc w:val="left"/>
        <w:tblLayout w:type="fixed"/>
        <w:tblLook w:val="0400"/>
      </w:tblPr>
      <w:tblGrid>
        <w:gridCol w:w="490"/>
        <w:gridCol w:w="8714"/>
        <w:tblGridChange w:id="0">
          <w:tblGrid>
            <w:gridCol w:w="490"/>
            <w:gridCol w:w="8714"/>
          </w:tblGrid>
        </w:tblGridChange>
      </w:tblGrid>
      <w:tr>
        <w:trPr>
          <w:cantSplit w:val="0"/>
          <w:trHeight w:val="1333"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spacing w:line="276" w:lineRule="auto"/>
              <w:rPr>
                <w:color w:val="000000"/>
              </w:rPr>
            </w:pPr>
            <w:r w:rsidDel="00000000" w:rsidR="00000000" w:rsidRPr="00000000">
              <w:rPr>
                <w:color w:val="000000"/>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spacing w:after="200" w:line="276" w:lineRule="auto"/>
              <w:rPr/>
            </w:pPr>
            <w:r w:rsidDel="00000000" w:rsidR="00000000" w:rsidRPr="00000000">
              <w:rPr>
                <w:rtl w:val="0"/>
              </w:rPr>
              <w:t xml:space="preserve">Resurserna skiljer sig åt mellan modulerna (se vidare under "moduler"). Idealt används flera av metoderna från verktygslådan, om möjligt tillsammans med lämplig teknisk utrustning, för att säkra en omväxlande och givande inlärningserfarenhet. Naturligtvis får det inte vara en sådan mångfald att deltagarna blir överväldigade eller att det får en negativ effekt på inlärningen.</w:t>
            </w:r>
          </w:p>
        </w:tc>
      </w:tr>
    </w:tbl>
    <w:p w:rsidR="00000000" w:rsidDel="00000000" w:rsidP="00000000" w:rsidRDefault="00000000" w:rsidRPr="00000000" w14:paraId="0000002C">
      <w:pPr>
        <w:spacing w:line="276" w:lineRule="auto"/>
        <w:rPr>
          <w:rFonts w:ascii="Cambria" w:cs="Cambria" w:eastAsia="Cambria" w:hAnsi="Cambria"/>
          <w:sz w:val="24"/>
          <w:szCs w:val="24"/>
        </w:rPr>
      </w:pPr>
      <w:r w:rsidDel="00000000" w:rsidR="00000000" w:rsidRPr="00000000">
        <w:rPr>
          <w:rtl w:val="0"/>
        </w:rPr>
      </w:r>
    </w:p>
    <w:tbl>
      <w:tblPr>
        <w:tblStyle w:val="Table7"/>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rHeight w:val="590" w:hRule="atLeast"/>
          <w:tblHeader w:val="0"/>
        </w:trPr>
        <w:tc>
          <w:tcPr>
            <w:shd w:fill="cbcdd1" w:val="clear"/>
          </w:tcPr>
          <w:p w:rsidR="00000000" w:rsidDel="00000000" w:rsidP="00000000" w:rsidRDefault="00000000" w:rsidRPr="00000000" w14:paraId="0000002D">
            <w:pPr>
              <w:spacing w:after="120" w:line="276" w:lineRule="auto"/>
              <w:jc w:val="center"/>
              <w:rPr>
                <w:b w:val="1"/>
              </w:rPr>
            </w:pPr>
            <w:r w:rsidDel="00000000" w:rsidR="00000000" w:rsidRPr="00000000">
              <w:rPr>
                <w:b w:val="1"/>
                <w:rtl w:val="0"/>
              </w:rPr>
              <w:t xml:space="preserve">BEST PRACTICE-EXEMPEL</w:t>
            </w:r>
          </w:p>
        </w:tc>
      </w:tr>
      <w:tr>
        <w:trPr>
          <w:cantSplit w:val="0"/>
          <w:trHeight w:val="1328" w:hRule="atLeast"/>
          <w:tblHeader w:val="0"/>
        </w:trPr>
        <w:tc>
          <w:tcPr/>
          <w:p w:rsidR="00000000" w:rsidDel="00000000" w:rsidP="00000000" w:rsidRDefault="00000000" w:rsidRPr="00000000" w14:paraId="0000002E">
            <w:pPr>
              <w:spacing w:after="120" w:line="276" w:lineRule="auto"/>
              <w:jc w:val="left"/>
              <w:rPr/>
            </w:pPr>
            <w:r w:rsidDel="00000000" w:rsidR="00000000" w:rsidRPr="00000000">
              <w:rPr>
                <w:rtl w:val="0"/>
              </w:rPr>
              <w:t xml:space="preserve">I slutet av detta dokument ges ett flertal exempel </w:t>
            </w:r>
            <w:r w:rsidDel="00000000" w:rsidR="00000000" w:rsidRPr="00000000">
              <w:rPr>
                <w:highlight w:val="yellow"/>
                <w:rtl w:val="0"/>
              </w:rPr>
              <w:t xml:space="preserve">[OBS! kommentar i ursprungsdokumentet: detta beror på om ni beslutar att använda flera exempel eller endast München.].</w:t>
            </w:r>
            <w:r w:rsidDel="00000000" w:rsidR="00000000" w:rsidRPr="00000000">
              <w:rPr>
                <w:rtl w:val="0"/>
              </w:rPr>
              <w:t xml:space="preserve"> Kursplanerna för de första multiplikatorevenemangen som hållits i Luneburg, Uppsala, Trnava och München visar hur olika sådana evenemang kan struktureras och anpassas efter deltagarnas erfarenheter och intressen.</w:t>
            </w:r>
          </w:p>
        </w:tc>
      </w:tr>
    </w:tbl>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tabs>
        <w:tab w:val="center" w:leader="none" w:pos="4513"/>
        <w:tab w:val="right" w:leader="none" w:pos="9026"/>
      </w:tabs>
      <w:spacing w:after="0" w:lineRule="auto"/>
      <w:jc w:val="center"/>
      <w:rPr>
        <w:b w:val="1"/>
        <w:color w:val="1f497d"/>
        <w:sz w:val="28"/>
        <w:szCs w:val="28"/>
      </w:rPr>
    </w:pPr>
    <w:r w:rsidDel="00000000" w:rsidR="00000000" w:rsidRPr="00000000">
      <w:rPr>
        <w:b w:val="1"/>
        <w:color w:val="1f497d"/>
        <w:sz w:val="28"/>
        <w:szCs w:val="28"/>
        <w:rtl w:val="0"/>
      </w:rPr>
      <w:t xml:space="preserve">Blandade multiloger: att stärka förändring och förnyelse inom högre utbildning</w:t>
    </w:r>
    <w:r w:rsidDel="00000000" w:rsidR="00000000" w:rsidRPr="00000000">
      <w:drawing>
        <wp:anchor allowOverlap="1" behindDoc="0" distB="0" distT="0" distL="114300" distR="114300" hidden="0" layoutInCell="1" locked="0" relativeHeight="0" simplePos="0">
          <wp:simplePos x="0" y="0"/>
          <wp:positionH relativeFrom="column">
            <wp:posOffset>-908046</wp:posOffset>
          </wp:positionH>
          <wp:positionV relativeFrom="paragraph">
            <wp:posOffset>-354327</wp:posOffset>
          </wp:positionV>
          <wp:extent cx="1720850" cy="490855"/>
          <wp:effectExtent b="0" l="0" r="0" t="0"/>
          <wp:wrapSquare wrapText="bothSides" distB="0" distT="0" distL="114300" distR="11430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0850" cy="4908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5638800</wp:posOffset>
          </wp:positionH>
          <wp:positionV relativeFrom="paragraph">
            <wp:posOffset>-411476</wp:posOffset>
          </wp:positionV>
          <wp:extent cx="885600" cy="885600"/>
          <wp:effectExtent b="0" l="0" r="0" t="0"/>
          <wp:wrapSquare wrapText="bothSides" distB="0" distT="0" distL="114300" distR="114300"/>
          <wp:docPr id="9"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885600" cy="8856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sv-SE"/>
      </w:rPr>
    </w:rPrDefault>
    <w:pPrDefault>
      <w:pP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240" w:lineRule="auto"/>
      <w:jc w:val="left"/>
    </w:pPr>
    <w:rPr>
      <w:b w:val="1"/>
      <w:sz w:val="24"/>
      <w:szCs w:val="24"/>
    </w:rPr>
  </w:style>
  <w:style w:type="paragraph" w:styleId="Heading2">
    <w:name w:val="heading 2"/>
    <w:basedOn w:val="Normal"/>
    <w:next w:val="Normal"/>
    <w:pPr>
      <w:spacing w:after="80" w:before="240" w:lineRule="auto"/>
      <w:jc w:val="left"/>
    </w:pPr>
    <w:rPr>
      <w:smallCaps w:val="1"/>
      <w:sz w:val="28"/>
      <w:szCs w:val="28"/>
    </w:rPr>
  </w:style>
  <w:style w:type="paragraph" w:styleId="Heading3">
    <w:name w:val="heading 3"/>
    <w:basedOn w:val="Normal"/>
    <w:next w:val="Normal"/>
    <w:pPr>
      <w:spacing w:after="0" w:lineRule="auto"/>
      <w:jc w:val="left"/>
    </w:pPr>
    <w:rPr>
      <w:b w:val="1"/>
      <w:i w:val="1"/>
    </w:rPr>
  </w:style>
  <w:style w:type="paragraph" w:styleId="Heading4">
    <w:name w:val="heading 4"/>
    <w:basedOn w:val="Normal"/>
    <w:next w:val="Normal"/>
    <w:pPr>
      <w:spacing w:after="0" w:before="240" w:lineRule="auto"/>
      <w:jc w:val="left"/>
    </w:pPr>
    <w:rPr>
      <w:smallCaps w:val="1"/>
      <w:sz w:val="22"/>
      <w:szCs w:val="22"/>
    </w:rPr>
  </w:style>
  <w:style w:type="paragraph" w:styleId="Heading5">
    <w:name w:val="heading 5"/>
    <w:basedOn w:val="Normal"/>
    <w:next w:val="Normal"/>
    <w:pPr>
      <w:spacing w:after="0" w:before="200" w:lineRule="auto"/>
      <w:jc w:val="left"/>
    </w:pPr>
    <w:rPr>
      <w:smallCaps w:val="1"/>
      <w:color w:val="988307"/>
      <w:sz w:val="22"/>
      <w:szCs w:val="22"/>
    </w:rPr>
  </w:style>
  <w:style w:type="paragraph" w:styleId="Heading6">
    <w:name w:val="heading 6"/>
    <w:basedOn w:val="Normal"/>
    <w:next w:val="Normal"/>
    <w:pPr>
      <w:spacing w:after="0" w:lineRule="auto"/>
      <w:jc w:val="left"/>
    </w:pPr>
    <w:rPr>
      <w:smallCaps w:val="1"/>
      <w:color w:val="ccaf0a"/>
      <w:sz w:val="22"/>
      <w:szCs w:val="22"/>
    </w:rPr>
  </w:style>
  <w:style w:type="paragraph" w:styleId="Title">
    <w:name w:val="Title"/>
    <w:basedOn w:val="Normal"/>
    <w:next w:val="Normal"/>
    <w:pPr>
      <w:pBdr>
        <w:top w:color="ccaf0a" w:space="1" w:sz="12" w:val="single"/>
      </w:pBdr>
      <w:spacing w:after="60" w:lineRule="auto"/>
      <w:jc w:val="left"/>
    </w:pPr>
    <w:rPr>
      <w:rFonts w:ascii="Quattrocento Sans" w:cs="Quattrocento Sans" w:eastAsia="Quattrocento Sans" w:hAnsi="Quattrocento Sans"/>
      <w:sz w:val="36"/>
      <w:szCs w:val="36"/>
    </w:rPr>
  </w:style>
  <w:style w:type="paragraph" w:styleId="Normal" w:default="1">
    <w:name w:val="Normal"/>
    <w:qFormat w:val="1"/>
  </w:style>
  <w:style w:type="paragraph" w:styleId="Rubrik1">
    <w:name w:val="heading 1"/>
    <w:basedOn w:val="Normal"/>
    <w:next w:val="Normal"/>
    <w:uiPriority w:val="9"/>
    <w:qFormat w:val="1"/>
    <w:pPr>
      <w:spacing w:after="60" w:before="240"/>
      <w:jc w:val="left"/>
      <w:outlineLvl w:val="0"/>
    </w:pPr>
    <w:rPr>
      <w:b w:val="1"/>
      <w:sz w:val="24"/>
      <w:szCs w:val="24"/>
    </w:rPr>
  </w:style>
  <w:style w:type="paragraph" w:styleId="Rubrik2">
    <w:name w:val="heading 2"/>
    <w:basedOn w:val="Normal"/>
    <w:next w:val="Normal"/>
    <w:uiPriority w:val="9"/>
    <w:semiHidden w:val="1"/>
    <w:unhideWhenUsed w:val="1"/>
    <w:qFormat w:val="1"/>
    <w:pPr>
      <w:spacing w:after="80" w:before="240"/>
      <w:jc w:val="left"/>
      <w:outlineLvl w:val="1"/>
    </w:pPr>
    <w:rPr>
      <w:smallCaps w:val="1"/>
      <w:sz w:val="28"/>
      <w:szCs w:val="28"/>
    </w:rPr>
  </w:style>
  <w:style w:type="paragraph" w:styleId="Rubrik3">
    <w:name w:val="heading 3"/>
    <w:basedOn w:val="Normal"/>
    <w:next w:val="Normal"/>
    <w:uiPriority w:val="9"/>
    <w:semiHidden w:val="1"/>
    <w:unhideWhenUsed w:val="1"/>
    <w:qFormat w:val="1"/>
    <w:pPr>
      <w:spacing w:after="0"/>
      <w:jc w:val="left"/>
      <w:outlineLvl w:val="2"/>
    </w:pPr>
    <w:rPr>
      <w:b w:val="1"/>
      <w:i w:val="1"/>
    </w:rPr>
  </w:style>
  <w:style w:type="paragraph" w:styleId="Rubrik4">
    <w:name w:val="heading 4"/>
    <w:basedOn w:val="Normal"/>
    <w:next w:val="Normal"/>
    <w:uiPriority w:val="9"/>
    <w:semiHidden w:val="1"/>
    <w:unhideWhenUsed w:val="1"/>
    <w:qFormat w:val="1"/>
    <w:pPr>
      <w:spacing w:after="0" w:before="240"/>
      <w:jc w:val="left"/>
      <w:outlineLvl w:val="3"/>
    </w:pPr>
    <w:rPr>
      <w:smallCaps w:val="1"/>
      <w:sz w:val="22"/>
      <w:szCs w:val="22"/>
    </w:rPr>
  </w:style>
  <w:style w:type="paragraph" w:styleId="Rubrik5">
    <w:name w:val="heading 5"/>
    <w:basedOn w:val="Normal"/>
    <w:next w:val="Normal"/>
    <w:uiPriority w:val="9"/>
    <w:semiHidden w:val="1"/>
    <w:unhideWhenUsed w:val="1"/>
    <w:qFormat w:val="1"/>
    <w:pPr>
      <w:spacing w:after="0" w:before="200"/>
      <w:jc w:val="left"/>
      <w:outlineLvl w:val="4"/>
    </w:pPr>
    <w:rPr>
      <w:smallCaps w:val="1"/>
      <w:color w:val="988307"/>
      <w:sz w:val="22"/>
      <w:szCs w:val="22"/>
    </w:rPr>
  </w:style>
  <w:style w:type="paragraph" w:styleId="Rubrik6">
    <w:name w:val="heading 6"/>
    <w:basedOn w:val="Normal"/>
    <w:next w:val="Normal"/>
    <w:uiPriority w:val="9"/>
    <w:semiHidden w:val="1"/>
    <w:unhideWhenUsed w:val="1"/>
    <w:qFormat w:val="1"/>
    <w:pPr>
      <w:spacing w:after="0"/>
      <w:jc w:val="left"/>
      <w:outlineLvl w:val="5"/>
    </w:pPr>
    <w:rPr>
      <w:smallCaps w:val="1"/>
      <w:color w:val="ccaf0a"/>
      <w:sz w:val="22"/>
      <w:szCs w:val="22"/>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Rubrik">
    <w:name w:val="Title"/>
    <w:basedOn w:val="Normal"/>
    <w:next w:val="Normal"/>
    <w:uiPriority w:val="10"/>
    <w:qFormat w:val="1"/>
    <w:pPr>
      <w:pBdr>
        <w:top w:color="ccaf0a" w:space="1" w:sz="12" w:val="single"/>
      </w:pBdr>
      <w:spacing w:after="60"/>
      <w:jc w:val="left"/>
    </w:pPr>
    <w:rPr>
      <w:rFonts w:ascii="Quattrocento Sans" w:cs="Quattrocento Sans" w:eastAsia="Quattrocento Sans" w:hAnsi="Quattrocento Sans"/>
      <w:sz w:val="36"/>
      <w:szCs w:val="36"/>
    </w:rPr>
  </w:style>
  <w:style w:type="table" w:styleId="TableNormal0" w:customStyle="1">
    <w:name w:val="Table Normal"/>
    <w:tblPr>
      <w:tblCellMar>
        <w:top w:w="0.0" w:type="dxa"/>
        <w:left w:w="0.0" w:type="dxa"/>
        <w:bottom w:w="0.0" w:type="dxa"/>
        <w:right w:w="0.0" w:type="dxa"/>
      </w:tblCellMar>
    </w:tblPr>
  </w:style>
  <w:style w:type="paragraph" w:styleId="Underrubrik">
    <w:name w:val="Subtitle"/>
    <w:basedOn w:val="Normal"/>
    <w:next w:val="Normal"/>
    <w:uiPriority w:val="11"/>
    <w:qFormat w:val="1"/>
    <w:pPr>
      <w:pBdr>
        <w:top w:space="0" w:sz="0" w:val="nil"/>
        <w:left w:space="0" w:sz="0" w:val="nil"/>
        <w:bottom w:space="0" w:sz="0" w:val="nil"/>
        <w:right w:space="0" w:sz="0" w:val="nil"/>
        <w:between w:space="0" w:sz="0" w:val="nil"/>
      </w:pBdr>
      <w:spacing w:after="240"/>
      <w:jc w:val="left"/>
    </w:pPr>
    <w:rPr>
      <w:rFonts w:ascii="Quattrocento Sans" w:cs="Quattrocento Sans" w:eastAsia="Quattrocento Sans" w:hAnsi="Quattrocento Sans"/>
      <w:i w:val="1"/>
      <w:color w:val="000000"/>
    </w:rPr>
  </w:style>
  <w:style w:type="table" w:styleId="a" w:customStyle="1">
    <w:basedOn w:val="Normaltabell"/>
    <w:pPr>
      <w:spacing w:after="0"/>
    </w:pPr>
    <w:tblPr>
      <w:tblStyleRowBandSize w:val="1"/>
      <w:tblStyleColBandSize w:val="1"/>
    </w:tblPr>
  </w:style>
  <w:style w:type="table" w:styleId="a0" w:customStyle="1">
    <w:basedOn w:val="Normaltabell"/>
    <w:pPr>
      <w:spacing w:after="0"/>
    </w:pPr>
    <w:tblPr>
      <w:tblStyleRowBandSize w:val="1"/>
      <w:tblStyleColBandSize w:val="1"/>
    </w:tblPr>
  </w:style>
  <w:style w:type="table" w:styleId="a1" w:customStyle="1">
    <w:basedOn w:val="Normaltabell"/>
    <w:pPr>
      <w:spacing w:after="0"/>
    </w:pPr>
    <w:tblPr>
      <w:tblStyleRowBandSize w:val="1"/>
      <w:tblStyleColBandSize w:val="1"/>
    </w:tblPr>
  </w:style>
  <w:style w:type="table" w:styleId="a2" w:customStyle="1">
    <w:basedOn w:val="Normaltabell"/>
    <w:pPr>
      <w:spacing w:after="0"/>
    </w:pPr>
    <w:tblPr>
      <w:tblStyleRowBandSize w:val="1"/>
      <w:tblStyleColBandSize w:val="1"/>
    </w:tblPr>
  </w:style>
  <w:style w:type="table" w:styleId="a3" w:customStyle="1">
    <w:basedOn w:val="Normaltabell"/>
    <w:pPr>
      <w:spacing w:after="0"/>
    </w:pPr>
    <w:tblPr>
      <w:tblStyleRowBandSize w:val="1"/>
      <w:tblStyleColBandSize w:val="1"/>
    </w:tblPr>
  </w:style>
  <w:style w:type="table" w:styleId="a4" w:customStyle="1">
    <w:basedOn w:val="Normaltabell"/>
    <w:pPr>
      <w:spacing w:after="0"/>
    </w:pPr>
    <w:tblPr>
      <w:tblStyleRowBandSize w:val="1"/>
      <w:tblStyleColBandSize w:val="1"/>
    </w:tblPr>
  </w:style>
  <w:style w:type="table" w:styleId="a5" w:customStyle="1">
    <w:basedOn w:val="Normaltabell"/>
    <w:pPr>
      <w:spacing w:after="0"/>
    </w:pPr>
    <w:tblPr>
      <w:tblStyleRowBandSize w:val="1"/>
      <w:tblStyleColBandSize w:val="1"/>
    </w:tblPr>
  </w:style>
  <w:style w:type="table" w:styleId="a6" w:customStyle="1">
    <w:basedOn w:val="Normaltabell"/>
    <w:pPr>
      <w:spacing w:after="0"/>
    </w:pPr>
    <w:tblPr>
      <w:tblStyleRowBandSize w:val="1"/>
      <w:tblStyleColBandSize w:val="1"/>
    </w:tblPr>
  </w:style>
  <w:style w:type="table" w:styleId="a7" w:customStyle="1">
    <w:basedOn w:val="Normaltabell"/>
    <w:pPr>
      <w:spacing w:after="0"/>
    </w:pPr>
    <w:tblPr>
      <w:tblStyleRowBandSize w:val="1"/>
      <w:tblStyleColBandSize w:val="1"/>
    </w:tblPr>
  </w:style>
  <w:style w:type="table" w:styleId="a8" w:customStyle="1">
    <w:basedOn w:val="Normaltabell"/>
    <w:pPr>
      <w:spacing w:after="0"/>
    </w:pPr>
    <w:tblPr>
      <w:tblStyleRowBandSize w:val="1"/>
      <w:tblStyleColBandSize w:val="1"/>
    </w:tblPr>
  </w:style>
  <w:style w:type="table" w:styleId="a9" w:customStyle="1">
    <w:basedOn w:val="Normaltabell"/>
    <w:pPr>
      <w:spacing w:after="0"/>
    </w:pPr>
    <w:tblPr>
      <w:tblStyleRowBandSize w:val="1"/>
      <w:tblStyleColBandSize w:val="1"/>
    </w:tblPr>
  </w:style>
  <w:style w:type="table" w:styleId="aa" w:customStyle="1">
    <w:basedOn w:val="Normaltabell"/>
    <w:pPr>
      <w:spacing w:after="0"/>
    </w:pPr>
    <w:tblPr>
      <w:tblStyleRowBandSize w:val="1"/>
      <w:tblStyleColBandSize w:val="1"/>
    </w:tblPr>
  </w:style>
  <w:style w:type="table" w:styleId="ab" w:customStyle="1">
    <w:basedOn w:val="Normaltabell"/>
    <w:pPr>
      <w:spacing w:after="0"/>
    </w:pPr>
    <w:tblPr>
      <w:tblStyleRowBandSize w:val="1"/>
      <w:tblStyleColBandSize w:val="1"/>
    </w:tblPr>
  </w:style>
  <w:style w:type="table" w:styleId="ac" w:customStyle="1">
    <w:basedOn w:val="Normaltabell"/>
    <w:pPr>
      <w:spacing w:after="0"/>
    </w:pPr>
    <w:tblPr>
      <w:tblStyleRowBandSize w:val="1"/>
      <w:tblStyleColBandSize w:val="1"/>
    </w:tblPr>
  </w:style>
  <w:style w:type="table" w:styleId="ad" w:customStyle="1">
    <w:basedOn w:val="Normaltabell"/>
    <w:pPr>
      <w:spacing w:after="0"/>
    </w:pPr>
    <w:tblPr>
      <w:tblStyleRowBandSize w:val="1"/>
      <w:tblStyleColBandSize w:val="1"/>
    </w:tblPr>
  </w:style>
  <w:style w:type="table" w:styleId="ae" w:customStyle="1">
    <w:basedOn w:val="Normaltabell"/>
    <w:pPr>
      <w:spacing w:after="0"/>
    </w:pPr>
    <w:tblPr>
      <w:tblStyleRowBandSize w:val="1"/>
      <w:tblStyleColBandSize w:val="1"/>
    </w:tblPr>
  </w:style>
  <w:style w:type="table" w:styleId="af" w:customStyle="1">
    <w:basedOn w:val="Normaltabell"/>
    <w:pPr>
      <w:spacing w:after="0"/>
    </w:pPr>
    <w:tblPr>
      <w:tblStyleRowBandSize w:val="1"/>
      <w:tblStyleColBandSize w:val="1"/>
    </w:tblPr>
  </w:style>
  <w:style w:type="table" w:styleId="af0" w:customStyle="1">
    <w:basedOn w:val="Normaltabell"/>
    <w:pPr>
      <w:spacing w:after="0"/>
    </w:pPr>
    <w:tblPr>
      <w:tblStyleRowBandSize w:val="1"/>
      <w:tblStyleColBandSize w:val="1"/>
    </w:tblPr>
  </w:style>
  <w:style w:type="table" w:styleId="af1" w:customStyle="1">
    <w:basedOn w:val="Normaltabell"/>
    <w:pPr>
      <w:spacing w:after="0"/>
    </w:pPr>
    <w:tblPr>
      <w:tblStyleRowBandSize w:val="1"/>
      <w:tblStyleColBandSize w:val="1"/>
    </w:tblPr>
  </w:style>
  <w:style w:type="table" w:styleId="af2" w:customStyle="1">
    <w:basedOn w:val="Normaltabell"/>
    <w:pPr>
      <w:spacing w:after="0"/>
    </w:pPr>
    <w:tblPr>
      <w:tblStyleRowBandSize w:val="1"/>
      <w:tblStyleColBandSize w:val="1"/>
    </w:tblPr>
  </w:style>
  <w:style w:type="table" w:styleId="af3" w:customStyle="1">
    <w:basedOn w:val="Normaltabell"/>
    <w:pPr>
      <w:spacing w:after="0"/>
    </w:pPr>
    <w:tblPr>
      <w:tblStyleRowBandSize w:val="1"/>
      <w:tblStyleColBandSize w:val="1"/>
    </w:tblPr>
  </w:style>
  <w:style w:type="table" w:styleId="af4" w:customStyle="1">
    <w:basedOn w:val="Normaltabell"/>
    <w:pPr>
      <w:spacing w:after="0"/>
    </w:pPr>
    <w:tblPr>
      <w:tblStyleRowBandSize w:val="1"/>
      <w:tblStyleColBandSize w:val="1"/>
    </w:tblPr>
  </w:style>
  <w:style w:type="table" w:styleId="af5" w:customStyle="1">
    <w:basedOn w:val="Normaltabell"/>
    <w:pPr>
      <w:spacing w:after="0"/>
    </w:pPr>
    <w:tblPr>
      <w:tblStyleRowBandSize w:val="1"/>
      <w:tblStyleColBandSize w:val="1"/>
    </w:tblPr>
  </w:style>
  <w:style w:type="table" w:styleId="af6" w:customStyle="1">
    <w:basedOn w:val="Normaltabell"/>
    <w:pPr>
      <w:spacing w:after="0"/>
    </w:pPr>
    <w:tblPr>
      <w:tblStyleRowBandSize w:val="1"/>
      <w:tblStyleColBandSize w:val="1"/>
    </w:tblPr>
  </w:style>
  <w:style w:type="table" w:styleId="af7" w:customStyle="1">
    <w:basedOn w:val="Normaltabell"/>
    <w:pPr>
      <w:spacing w:after="0"/>
    </w:pPr>
    <w:tblPr>
      <w:tblStyleRowBandSize w:val="1"/>
      <w:tblStyleColBandSize w:val="1"/>
    </w:tblPr>
  </w:style>
  <w:style w:type="table" w:styleId="af8" w:customStyle="1">
    <w:basedOn w:val="Normaltabell"/>
    <w:pPr>
      <w:spacing w:after="0"/>
    </w:pPr>
    <w:tblPr>
      <w:tblStyleRowBandSize w:val="1"/>
      <w:tblStyleColBandSize w:val="1"/>
    </w:tblPr>
  </w:style>
  <w:style w:type="table" w:styleId="af9" w:customStyle="1">
    <w:basedOn w:val="Normaltabell"/>
    <w:pPr>
      <w:spacing w:after="0"/>
    </w:pPr>
    <w:tblPr>
      <w:tblStyleRowBandSize w:val="1"/>
      <w:tblStyleColBandSize w:val="1"/>
    </w:tblPr>
  </w:style>
  <w:style w:type="table" w:styleId="afa" w:customStyle="1">
    <w:basedOn w:val="Normaltabell"/>
    <w:pPr>
      <w:spacing w:after="0"/>
    </w:pPr>
    <w:tblPr>
      <w:tblStyleRowBandSize w:val="1"/>
      <w:tblStyleColBandSize w:val="1"/>
    </w:tblPr>
  </w:style>
  <w:style w:type="table" w:styleId="afb" w:customStyle="1">
    <w:basedOn w:val="Normaltabell"/>
    <w:pPr>
      <w:spacing w:after="0"/>
    </w:pPr>
    <w:tblPr>
      <w:tblStyleRowBandSize w:val="1"/>
      <w:tblStyleColBandSize w:val="1"/>
    </w:tblPr>
  </w:style>
  <w:style w:type="table" w:styleId="afc" w:customStyle="1">
    <w:basedOn w:val="Normaltabell"/>
    <w:pPr>
      <w:spacing w:after="0"/>
    </w:pPr>
    <w:tblPr>
      <w:tblStyleRowBandSize w:val="1"/>
      <w:tblStyleColBandSize w:val="1"/>
    </w:tblPr>
  </w:style>
  <w:style w:type="table" w:styleId="afd" w:customStyle="1">
    <w:basedOn w:val="Normaltabell"/>
    <w:pPr>
      <w:spacing w:after="0"/>
    </w:pPr>
    <w:tblPr>
      <w:tblStyleRowBandSize w:val="1"/>
      <w:tblStyleColBandSize w:val="1"/>
    </w:tblPr>
  </w:style>
  <w:style w:type="table" w:styleId="afe" w:customStyle="1">
    <w:basedOn w:val="Normaltabell"/>
    <w:pPr>
      <w:spacing w:after="0"/>
    </w:pPr>
    <w:tblPr>
      <w:tblStyleRowBandSize w:val="1"/>
      <w:tblStyleColBandSize w:val="1"/>
    </w:tblPr>
  </w:style>
  <w:style w:type="table" w:styleId="aff" w:customStyle="1">
    <w:basedOn w:val="Normaltabell"/>
    <w:pPr>
      <w:spacing w:after="0"/>
    </w:pPr>
    <w:tblPr>
      <w:tblStyleRowBandSize w:val="1"/>
      <w:tblStyleColBandSize w:val="1"/>
    </w:tblPr>
  </w:style>
  <w:style w:type="table" w:styleId="aff0" w:customStyle="1">
    <w:basedOn w:val="Normaltabell"/>
    <w:pPr>
      <w:spacing w:after="0"/>
    </w:pPr>
    <w:tblPr>
      <w:tblStyleRowBandSize w:val="1"/>
      <w:tblStyleColBandSize w:val="1"/>
    </w:tblPr>
  </w:style>
  <w:style w:type="paragraph" w:styleId="Kommentarer">
    <w:name w:val="annotation text"/>
    <w:basedOn w:val="Normal"/>
    <w:link w:val="KommentarerChar"/>
    <w:uiPriority w:val="99"/>
    <w:semiHidden w:val="1"/>
    <w:unhideWhenUsed w:val="1"/>
  </w:style>
  <w:style w:type="character" w:styleId="KommentarerChar" w:customStyle="1">
    <w:name w:val="Kommentarer Char"/>
    <w:basedOn w:val="Standardstycketeckensnitt"/>
    <w:link w:val="Kommentarer"/>
    <w:uiPriority w:val="99"/>
    <w:semiHidden w:val="1"/>
  </w:style>
  <w:style w:type="character" w:styleId="Kommentarsreferens">
    <w:name w:val="annotation reference"/>
    <w:basedOn w:val="Standardstycketeckensnitt"/>
    <w:uiPriority w:val="99"/>
    <w:semiHidden w:val="1"/>
    <w:unhideWhenUsed w:val="1"/>
    <w:rPr>
      <w:sz w:val="16"/>
      <w:szCs w:val="16"/>
    </w:rPr>
  </w:style>
  <w:style w:type="paragraph" w:styleId="Ballongtext">
    <w:name w:val="Balloon Text"/>
    <w:basedOn w:val="Normal"/>
    <w:link w:val="BallongtextChar"/>
    <w:uiPriority w:val="99"/>
    <w:semiHidden w:val="1"/>
    <w:unhideWhenUsed w:val="1"/>
    <w:rsid w:val="00DF650B"/>
    <w:pPr>
      <w:spacing w:after="0"/>
    </w:pPr>
    <w:rPr>
      <w:rFonts w:ascii="Segoe UI" w:cs="Segoe UI" w:hAnsi="Segoe UI"/>
      <w:sz w:val="18"/>
      <w:szCs w:val="18"/>
    </w:rPr>
  </w:style>
  <w:style w:type="character" w:styleId="BallongtextChar" w:customStyle="1">
    <w:name w:val="Ballongtext Char"/>
    <w:basedOn w:val="Standardstycketeckensnitt"/>
    <w:link w:val="Ballongtext"/>
    <w:uiPriority w:val="99"/>
    <w:semiHidden w:val="1"/>
    <w:rsid w:val="00DF650B"/>
    <w:rPr>
      <w:rFonts w:ascii="Segoe UI" w:cs="Segoe UI" w:hAnsi="Segoe UI"/>
      <w:sz w:val="18"/>
      <w:szCs w:val="18"/>
    </w:rPr>
  </w:style>
  <w:style w:type="character" w:styleId="Hyperlnk">
    <w:name w:val="Hyperlink"/>
    <w:basedOn w:val="Standardstycketeckensnitt"/>
    <w:uiPriority w:val="99"/>
    <w:unhideWhenUsed w:val="1"/>
    <w:rsid w:val="00F55370"/>
    <w:rPr>
      <w:color w:val="0000ff"/>
      <w:u w:val="single"/>
    </w:rPr>
  </w:style>
  <w:style w:type="table" w:styleId="aff1" w:customStyle="1">
    <w:basedOn w:val="Normaltabell"/>
    <w:pPr>
      <w:spacing w:after="0"/>
    </w:pPr>
    <w:tblPr>
      <w:tblStyleRowBandSize w:val="1"/>
      <w:tblStyleColBandSize w:val="1"/>
    </w:tblPr>
  </w:style>
  <w:style w:type="table" w:styleId="aff2" w:customStyle="1">
    <w:basedOn w:val="Normaltabell"/>
    <w:pPr>
      <w:spacing w:after="0"/>
    </w:pPr>
    <w:tblPr>
      <w:tblStyleRowBandSize w:val="1"/>
      <w:tblStyleColBandSize w:val="1"/>
    </w:tblPr>
  </w:style>
  <w:style w:type="table" w:styleId="aff3" w:customStyle="1">
    <w:basedOn w:val="Normaltabell"/>
    <w:pPr>
      <w:spacing w:after="0"/>
    </w:pPr>
    <w:tblPr>
      <w:tblStyleRowBandSize w:val="1"/>
      <w:tblStyleColBandSize w:val="1"/>
    </w:tblPr>
  </w:style>
  <w:style w:type="table" w:styleId="aff4" w:customStyle="1">
    <w:basedOn w:val="Normaltabell"/>
    <w:pPr>
      <w:spacing w:after="0"/>
    </w:pPr>
    <w:tblPr>
      <w:tblStyleRowBandSize w:val="1"/>
      <w:tblStyleColBandSize w:val="1"/>
    </w:tblPr>
  </w:style>
  <w:style w:type="table" w:styleId="aff5" w:customStyle="1">
    <w:basedOn w:val="Normaltabell"/>
    <w:pPr>
      <w:spacing w:after="0"/>
    </w:pPr>
    <w:tblPr>
      <w:tblStyleRowBandSize w:val="1"/>
      <w:tblStyleColBandSize w:val="1"/>
    </w:tblPr>
  </w:style>
  <w:style w:type="table" w:styleId="aff6" w:customStyle="1">
    <w:basedOn w:val="Normaltabell"/>
    <w:pPr>
      <w:spacing w:after="0"/>
    </w:pPr>
    <w:tblPr>
      <w:tblStyleRowBandSize w:val="1"/>
      <w:tblStyleColBandSize w:val="1"/>
    </w:tblPr>
  </w:style>
  <w:style w:type="table" w:styleId="Tabellrutnt">
    <w:name w:val="Table Grid"/>
    <w:basedOn w:val="Normaltabell"/>
    <w:uiPriority w:val="39"/>
    <w:rsid w:val="00392608"/>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ff7" w:customStyle="1">
    <w:basedOn w:val="Normaltabell"/>
    <w:pPr>
      <w:spacing w:after="0"/>
    </w:pPr>
    <w:tblPr>
      <w:tblStyleRowBandSize w:val="1"/>
      <w:tblStyleColBandSize w:val="1"/>
    </w:tblPr>
  </w:style>
  <w:style w:type="table" w:styleId="aff8" w:customStyle="1">
    <w:basedOn w:val="Normaltabell"/>
    <w:pPr>
      <w:spacing w:after="0"/>
    </w:pPr>
    <w:tblPr>
      <w:tblStyleRowBandSize w:val="1"/>
      <w:tblStyleColBandSize w:val="1"/>
    </w:tblPr>
  </w:style>
  <w:style w:type="table" w:styleId="aff9" w:customStyle="1">
    <w:basedOn w:val="Normaltabell"/>
    <w:pPr>
      <w:spacing w:after="0"/>
    </w:pPr>
    <w:tblPr>
      <w:tblStyleRowBandSize w:val="1"/>
      <w:tblStyleColBandSize w:val="1"/>
    </w:tblPr>
  </w:style>
  <w:style w:type="table" w:styleId="affa" w:customStyle="1">
    <w:basedOn w:val="Normaltabell"/>
    <w:pPr>
      <w:spacing w:after="0"/>
    </w:pPr>
    <w:tblPr>
      <w:tblStyleRowBandSize w:val="1"/>
      <w:tblStyleColBandSize w:val="1"/>
    </w:tblPr>
  </w:style>
  <w:style w:type="table" w:styleId="affb" w:customStyle="1">
    <w:basedOn w:val="Normaltabell"/>
    <w:pPr>
      <w:spacing w:after="0"/>
    </w:pPr>
    <w:tblPr>
      <w:tblStyleRowBandSize w:val="1"/>
      <w:tblStyleColBandSize w:val="1"/>
    </w:tblPr>
  </w:style>
  <w:style w:type="table" w:styleId="affc" w:customStyle="1">
    <w:basedOn w:val="Normaltabell"/>
    <w:pPr>
      <w:spacing w:after="0"/>
    </w:pPr>
    <w:tblPr>
      <w:tblStyleRowBandSize w:val="1"/>
      <w:tblStyleColBandSize w:val="1"/>
    </w:tblPr>
  </w:style>
  <w:style w:type="paragraph" w:styleId="Normalwebb">
    <w:name w:val="Normal (Web)"/>
    <w:basedOn w:val="Normal"/>
    <w:uiPriority w:val="99"/>
    <w:semiHidden w:val="1"/>
    <w:unhideWhenUsed w:val="1"/>
    <w:rsid w:val="000D6EA3"/>
    <w:pPr>
      <w:spacing w:after="100" w:afterAutospacing="1" w:before="100" w:beforeAutospacing="1"/>
      <w:jc w:val="left"/>
    </w:pPr>
    <w:rPr>
      <w:rFonts w:ascii="Times New Roman" w:cs="Times New Roman" w:eastAsia="Times New Roman" w:hAnsi="Times New Roman"/>
      <w:sz w:val="24"/>
      <w:szCs w:val="24"/>
    </w:rPr>
  </w:style>
  <w:style w:type="paragraph" w:styleId="Liststycke">
    <w:name w:val="List Paragraph"/>
    <w:basedOn w:val="Normal"/>
    <w:uiPriority w:val="34"/>
    <w:qFormat w:val="1"/>
    <w:rsid w:val="000D6EA3"/>
    <w:pPr>
      <w:spacing w:after="160" w:line="256" w:lineRule="auto"/>
      <w:ind w:left="720"/>
      <w:contextualSpacing w:val="1"/>
      <w:jc w:val="left"/>
    </w:pPr>
    <w:rPr>
      <w:rFonts w:asciiTheme="minorHAnsi" w:cstheme="minorBidi" w:eastAsiaTheme="minorHAnsi" w:hAnsiTheme="minorHAnsi"/>
      <w:sz w:val="22"/>
      <w:szCs w:val="22"/>
      <w:lang w:eastAsia="en-US"/>
    </w:rPr>
  </w:style>
  <w:style w:type="paragraph" w:styleId="Revision">
    <w:name w:val="Revision"/>
    <w:hidden w:val="1"/>
    <w:uiPriority w:val="99"/>
    <w:semiHidden w:val="1"/>
    <w:rsid w:val="00AB5BA3"/>
    <w:pPr>
      <w:spacing w:after="0"/>
      <w:jc w:val="left"/>
    </w:pPr>
  </w:style>
  <w:style w:type="character" w:styleId="UnresolvedMention1" w:customStyle="1">
    <w:name w:val="Unresolved Mention1"/>
    <w:basedOn w:val="Standardstycketeckensnitt"/>
    <w:uiPriority w:val="99"/>
    <w:semiHidden w:val="1"/>
    <w:unhideWhenUsed w:val="1"/>
    <w:rsid w:val="00AB5BA3"/>
    <w:rPr>
      <w:color w:val="605e5c"/>
      <w:shd w:color="auto" w:fill="e1dfdd" w:val="clear"/>
    </w:rPr>
  </w:style>
  <w:style w:type="character" w:styleId="AnvndHyperlnk">
    <w:name w:val="FollowedHyperlink"/>
    <w:basedOn w:val="Standardstycketeckensnitt"/>
    <w:uiPriority w:val="99"/>
    <w:semiHidden w:val="1"/>
    <w:unhideWhenUsed w:val="1"/>
    <w:rsid w:val="00822DC7"/>
    <w:rPr>
      <w:color w:val="800080" w:themeColor="followedHyperlink"/>
      <w:u w:val="single"/>
    </w:rPr>
  </w:style>
  <w:style w:type="paragraph" w:styleId="Kommentarsmne">
    <w:name w:val="annotation subject"/>
    <w:basedOn w:val="Kommentarer"/>
    <w:next w:val="Kommentarer"/>
    <w:link w:val="KommentarsmneChar"/>
    <w:uiPriority w:val="99"/>
    <w:semiHidden w:val="1"/>
    <w:unhideWhenUsed w:val="1"/>
    <w:rsid w:val="00B10ECF"/>
    <w:rPr>
      <w:b w:val="1"/>
      <w:bCs w:val="1"/>
    </w:rPr>
  </w:style>
  <w:style w:type="character" w:styleId="KommentarsmneChar" w:customStyle="1">
    <w:name w:val="Kommentarsämne Char"/>
    <w:basedOn w:val="KommentarerChar"/>
    <w:link w:val="Kommentarsmne"/>
    <w:uiPriority w:val="99"/>
    <w:semiHidden w:val="1"/>
    <w:rsid w:val="00B10ECF"/>
    <w:rPr>
      <w:b w:val="1"/>
      <w:bCs w:val="1"/>
    </w:rPr>
  </w:style>
  <w:style w:type="table" w:styleId="affd" w:customStyle="1">
    <w:basedOn w:val="TableNormal0"/>
    <w:pPr>
      <w:spacing w:after="0"/>
    </w:pPr>
    <w:tblPr>
      <w:tblStyleRowBandSize w:val="1"/>
      <w:tblStyleColBandSize w:val="1"/>
      <w:tblCellMar>
        <w:top w:w="0.0" w:type="dxa"/>
        <w:left w:w="108.0" w:type="dxa"/>
        <w:bottom w:w="0.0" w:type="dxa"/>
        <w:right w:w="108.0" w:type="dxa"/>
      </w:tblCellMar>
    </w:tblPr>
  </w:style>
  <w:style w:type="table" w:styleId="affe" w:customStyle="1">
    <w:basedOn w:val="TableNormal0"/>
    <w:pPr>
      <w:spacing w:after="0"/>
    </w:pPr>
    <w:tblPr>
      <w:tblStyleRowBandSize w:val="1"/>
      <w:tblStyleColBandSize w:val="1"/>
      <w:tblCellMar>
        <w:top w:w="0.0" w:type="dxa"/>
        <w:left w:w="108.0" w:type="dxa"/>
        <w:bottom w:w="0.0" w:type="dxa"/>
        <w:right w:w="108.0" w:type="dxa"/>
      </w:tblCellMar>
    </w:tblPr>
  </w:style>
  <w:style w:type="table" w:styleId="afff" w:customStyle="1">
    <w:basedOn w:val="TableNormal0"/>
    <w:pPr>
      <w:spacing w:after="0"/>
    </w:pPr>
    <w:tblPr>
      <w:tblStyleRowBandSize w:val="1"/>
      <w:tblStyleColBandSize w:val="1"/>
      <w:tblCellMar>
        <w:top w:w="0.0" w:type="dxa"/>
        <w:left w:w="108.0" w:type="dxa"/>
        <w:bottom w:w="0.0" w:type="dxa"/>
        <w:right w:w="108.0" w:type="dxa"/>
      </w:tblCellMar>
    </w:tblPr>
  </w:style>
  <w:style w:type="table" w:styleId="afff0" w:customStyle="1">
    <w:basedOn w:val="TableNormal0"/>
    <w:pPr>
      <w:spacing w:after="0"/>
    </w:pPr>
    <w:tblPr>
      <w:tblStyleRowBandSize w:val="1"/>
      <w:tblStyleColBandSize w:val="1"/>
      <w:tblCellMar>
        <w:top w:w="0.0" w:type="dxa"/>
        <w:left w:w="108.0" w:type="dxa"/>
        <w:bottom w:w="0.0" w:type="dxa"/>
        <w:right w:w="108.0" w:type="dxa"/>
      </w:tblCellMar>
    </w:tblPr>
  </w:style>
  <w:style w:type="table" w:styleId="afff1" w:customStyle="1">
    <w:basedOn w:val="TableNormal0"/>
    <w:pPr>
      <w:spacing w:after="0"/>
    </w:pPr>
    <w:tblPr>
      <w:tblStyleRowBandSize w:val="1"/>
      <w:tblStyleColBandSize w:val="1"/>
      <w:tblCellMar>
        <w:top w:w="0.0" w:type="dxa"/>
        <w:left w:w="108.0" w:type="dxa"/>
        <w:bottom w:w="0.0" w:type="dxa"/>
        <w:right w:w="108.0" w:type="dxa"/>
      </w:tblCellMar>
    </w:tblPr>
  </w:style>
  <w:style w:type="table" w:styleId="afff2" w:customStyle="1">
    <w:basedOn w:val="TableNormal0"/>
    <w:tblPr>
      <w:tblStyleRowBandSize w:val="1"/>
      <w:tblStyleColBandSize w:val="1"/>
      <w:tblCellMar>
        <w:top w:w="0.0" w:type="dxa"/>
        <w:left w:w="115.0" w:type="dxa"/>
        <w:bottom w:w="0.0" w:type="dxa"/>
        <w:right w:w="115.0" w:type="dxa"/>
      </w:tblCellMar>
    </w:tblPr>
  </w:style>
  <w:style w:type="table" w:styleId="afff3" w:customStyle="1">
    <w:basedOn w:val="TableNormal0"/>
    <w:pPr>
      <w:spacing w:after="0"/>
    </w:pPr>
    <w:tblPr>
      <w:tblStyleRowBandSize w:val="1"/>
      <w:tblStyleColBandSize w:val="1"/>
      <w:tblCellMar>
        <w:top w:w="0.0" w:type="dxa"/>
        <w:left w:w="108.0" w:type="dxa"/>
        <w:bottom w:w="0.0" w:type="dxa"/>
        <w:right w:w="108.0" w:type="dxa"/>
      </w:tblCellMar>
    </w:tblPr>
  </w:style>
  <w:style w:type="table" w:styleId="afff4" w:customStyle="1">
    <w:basedOn w:val="TableNormal0"/>
    <w:pPr>
      <w:spacing w:after="0"/>
    </w:pPr>
    <w:tblPr>
      <w:tblStyleRowBandSize w:val="1"/>
      <w:tblStyleColBandSize w:val="1"/>
      <w:tblCellMar>
        <w:top w:w="0.0" w:type="dxa"/>
        <w:left w:w="108.0" w:type="dxa"/>
        <w:bottom w:w="0.0" w:type="dxa"/>
        <w:right w:w="108.0" w:type="dxa"/>
      </w:tblCellMar>
    </w:tblPr>
  </w:style>
  <w:style w:type="table" w:styleId="afff5" w:customStyle="1">
    <w:basedOn w:val="TableNormal0"/>
    <w:pPr>
      <w:spacing w:after="0"/>
    </w:pPr>
    <w:tblPr>
      <w:tblStyleRowBandSize w:val="1"/>
      <w:tblStyleColBandSize w:val="1"/>
      <w:tblCellMar>
        <w:top w:w="0.0" w:type="dxa"/>
        <w:left w:w="108.0" w:type="dxa"/>
        <w:bottom w:w="0.0" w:type="dxa"/>
        <w:right w:w="108.0" w:type="dxa"/>
      </w:tblCellMar>
    </w:tblPr>
  </w:style>
  <w:style w:type="table" w:styleId="afff6" w:customStyle="1">
    <w:basedOn w:val="TableNormal0"/>
    <w:pPr>
      <w:spacing w:after="0"/>
    </w:pPr>
    <w:tblPr>
      <w:tblStyleRowBandSize w:val="1"/>
      <w:tblStyleColBandSize w:val="1"/>
      <w:tblCellMar>
        <w:top w:w="0.0" w:type="dxa"/>
        <w:left w:w="108.0" w:type="dxa"/>
        <w:bottom w:w="0.0" w:type="dxa"/>
        <w:right w:w="108.0" w:type="dxa"/>
      </w:tblCellMar>
    </w:tblPr>
  </w:style>
  <w:style w:type="table" w:styleId="afff7" w:customStyle="1">
    <w:basedOn w:val="TableNormal0"/>
    <w:pPr>
      <w:spacing w:after="0"/>
    </w:pPr>
    <w:tblPr>
      <w:tblStyleRowBandSize w:val="1"/>
      <w:tblStyleColBandSize w:val="1"/>
      <w:tblCellMar>
        <w:top w:w="0.0" w:type="dxa"/>
        <w:left w:w="108.0" w:type="dxa"/>
        <w:bottom w:w="0.0" w:type="dxa"/>
        <w:right w:w="108.0" w:type="dxa"/>
      </w:tblCellMar>
    </w:tblPr>
  </w:style>
  <w:style w:type="table" w:styleId="afff8" w:customStyle="1">
    <w:basedOn w:val="TableNormal0"/>
    <w:pPr>
      <w:spacing w:after="0"/>
    </w:pPr>
    <w:tblPr>
      <w:tblStyleRowBandSize w:val="1"/>
      <w:tblStyleColBandSize w:val="1"/>
      <w:tblCellMar>
        <w:top w:w="0.0" w:type="dxa"/>
        <w:left w:w="108.0" w:type="dxa"/>
        <w:bottom w:w="0.0" w:type="dxa"/>
        <w:right w:w="108.0" w:type="dxa"/>
      </w:tblCellMar>
    </w:tblPr>
  </w:style>
  <w:style w:type="table" w:styleId="afff9" w:customStyle="1">
    <w:basedOn w:val="TableNormal0"/>
    <w:pPr>
      <w:spacing w:after="0"/>
    </w:pPr>
    <w:tblPr>
      <w:tblStyleRowBandSize w:val="1"/>
      <w:tblStyleColBandSize w:val="1"/>
      <w:tblCellMar>
        <w:top w:w="0.0" w:type="dxa"/>
        <w:left w:w="108.0" w:type="dxa"/>
        <w:bottom w:w="0.0" w:type="dxa"/>
        <w:right w:w="108.0" w:type="dxa"/>
      </w:tblCellMar>
    </w:tblPr>
  </w:style>
  <w:style w:type="table" w:styleId="afffa" w:customStyle="1">
    <w:basedOn w:val="TableNormal0"/>
    <w:pPr>
      <w:spacing w:after="0"/>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pBdr>
        <w:top w:space="0" w:sz="0" w:val="nil"/>
        <w:left w:space="0" w:sz="0" w:val="nil"/>
        <w:bottom w:space="0" w:sz="0" w:val="nil"/>
        <w:right w:space="0" w:sz="0" w:val="nil"/>
        <w:between w:space="0" w:sz="0" w:val="nil"/>
      </w:pBdr>
      <w:spacing w:after="240" w:lineRule="auto"/>
      <w:jc w:val="left"/>
    </w:pPr>
    <w:rPr>
      <w:rFonts w:ascii="Quattrocento Sans" w:cs="Quattrocento Sans" w:eastAsia="Quattrocento Sans" w:hAnsi="Quattrocento Sans"/>
      <w:i w:val="1"/>
      <w:color w:val="000000"/>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s08N2UOaGi0ZVMMCGF2pXBBcRg==">CgMxLjAyCGguZ2pkZ3hzMgloLjFmb2I5dGUyDmgua3BjZm1pazJlaW1xOAByITFTak5vYklSX055YUtwcktpYUQtWnlCRmt2RlZwMXFhUQ==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2024-09-05T08:37:00Z</dcterms:created>
</cp:coreProperties>
</file>