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bookmarkStart w:colFirst="0" w:colLast="0" w:name="_heading=h.gjdgxs" w:id="0"/>
      <w:bookmarkEnd w:id="0"/>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MODULE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 Title</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Self-assessment </w:t>
            </w:r>
          </w:p>
        </w:tc>
      </w:tr>
      <w:tr>
        <w:trPr>
          <w:cantSplit w:val="0"/>
          <w:trHeight w:val="4360"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Description of the Module</w:t>
            </w:r>
          </w:p>
        </w:tc>
        <w:tc>
          <w:tcPr/>
          <w:p w:rsidR="00000000" w:rsidDel="00000000" w:rsidP="00000000" w:rsidRDefault="00000000" w:rsidRPr="00000000" w14:paraId="00000007">
            <w:pPr>
              <w:spacing w:after="160" w:line="276" w:lineRule="auto"/>
              <w:rPr/>
            </w:pPr>
            <w:bookmarkStart w:colFirst="0" w:colLast="0" w:name="_heading=h.1fob9te" w:id="1"/>
            <w:bookmarkEnd w:id="1"/>
            <w:r w:rsidDel="00000000" w:rsidR="00000000" w:rsidRPr="00000000">
              <w:rPr>
                <w:rtl w:val="0"/>
              </w:rPr>
              <w:t xml:space="preserve">The provided self-assessment test will scrutin</w:t>
            </w:r>
            <w:r w:rsidDel="00000000" w:rsidR="00000000" w:rsidRPr="00000000">
              <w:rPr>
                <w:rtl w:val="0"/>
              </w:rPr>
              <w:t xml:space="preserve">ise</w:t>
            </w:r>
            <w:r w:rsidDel="00000000" w:rsidR="00000000" w:rsidRPr="00000000">
              <w:rPr>
                <w:rtl w:val="0"/>
              </w:rPr>
              <w:t xml:space="preserve"> the participants’ skills, competences, and know-how in order to give them an estimation of where they stand on the readiness scale. The scale is divided into three domains: 1. didactical format readiness; 2. technology resource readiness; and 3. competence readiness. The knowledge about where they stand can motivate the participants to get even better in certain fields and help them choose the tools of the toolkit for which they are “ready”.</w:t>
            </w:r>
          </w:p>
          <w:p w:rsidR="00000000" w:rsidDel="00000000" w:rsidP="00000000" w:rsidRDefault="00000000" w:rsidRPr="00000000" w14:paraId="00000008">
            <w:pPr>
              <w:spacing w:after="160" w:line="276" w:lineRule="auto"/>
              <w:rPr/>
            </w:pPr>
            <w:r w:rsidDel="00000000" w:rsidR="00000000" w:rsidRPr="00000000">
              <w:rPr>
                <w:rtl w:val="0"/>
              </w:rPr>
              <w:t xml:space="preserve">It is advisable for the</w:t>
            </w:r>
            <w:r w:rsidDel="00000000" w:rsidR="00000000" w:rsidRPr="00000000">
              <w:rPr>
                <w:rtl w:val="0"/>
              </w:rPr>
              <w:t xml:space="preserve"> participants to complete the self-assessment before the event.</w:t>
            </w:r>
            <w:r w:rsidDel="00000000" w:rsidR="00000000" w:rsidRPr="00000000">
              <w:rPr>
                <w:rtl w:val="0"/>
              </w:rPr>
              <w:t xml:space="preserve"> This would enable the facilitator to, firstly, spend less time on this topic, and, secondly, to work with the evaluation. For instance, they can then show the overall result, which enables the educators to (anonymously) compare themselves to the others. Note that this needs a </w:t>
            </w:r>
            <w:r w:rsidDel="00000000" w:rsidR="00000000" w:rsidRPr="00000000">
              <w:rPr>
                <w:rtl w:val="0"/>
              </w:rPr>
              <w:t xml:space="preserve">psychological and ethical estimation</w:t>
            </w:r>
            <w:r w:rsidDel="00000000" w:rsidR="00000000" w:rsidRPr="00000000">
              <w:rPr>
                <w:rtl w:val="0"/>
              </w:rPr>
              <w:t xml:space="preserve"> by the host beforehand. Comparing yourself, for instance, might have a negative impact on your engagement with the rest of the event. Being the one with very little experience might be demotivating or cause this person to be less involved in order to hide alleged deficits.</w:t>
            </w:r>
          </w:p>
          <w:p w:rsidR="00000000" w:rsidDel="00000000" w:rsidP="00000000" w:rsidRDefault="00000000" w:rsidRPr="00000000" w14:paraId="00000009">
            <w:pPr>
              <w:spacing w:after="160" w:line="276" w:lineRule="auto"/>
              <w:rPr/>
            </w:pPr>
            <w:r w:rsidDel="00000000" w:rsidR="00000000" w:rsidRPr="00000000">
              <w:rPr>
                <w:rtl w:val="0"/>
              </w:rPr>
              <w:t xml:space="preserve">If one opts for the presentation of the evaluation during the event, one might, therefore, opt to this anonymously. Menti could be a good platform to share the results in this manner. In case the assessment happens on the day of the event, it is advisable to implement this module after the Welcome &amp; Schedule or the Get to Know Each Other one.</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MODULE LEARNING OUTCOMES (knowledge and skills)</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Upon successful completion of this module, the educator will have:</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estimated where they stand on the readiness scale concerning any of the three dimensions in relation to the tools.  </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estimated where she or he stands on the readiness scale concerning, especially, the first domain in relation to multilogues in general.  </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spacing w:after="240" w:line="276" w:lineRule="auto"/>
              <w:rPr/>
            </w:pPr>
            <w:r w:rsidDel="00000000" w:rsidR="00000000" w:rsidRPr="00000000">
              <w:rPr>
                <w:rtl w:val="0"/>
              </w:rPr>
              <w:t xml:space="preserve">the knowledge to begin the training at the appropriate level.</w:t>
            </w:r>
          </w:p>
        </w:tc>
      </w:tr>
    </w:tbl>
    <w:p w:rsidR="00000000" w:rsidDel="00000000" w:rsidP="00000000" w:rsidRDefault="00000000" w:rsidRPr="00000000" w14:paraId="00000015">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6">
            <w:pPr>
              <w:spacing w:line="276" w:lineRule="auto"/>
              <w:jc w:val="center"/>
              <w:rPr>
                <w:b w:val="1"/>
              </w:rPr>
            </w:pPr>
            <w:bookmarkStart w:colFirst="0" w:colLast="0" w:name="_heading=h.kpcfmik2eimq" w:id="2"/>
            <w:bookmarkEnd w:id="2"/>
            <w:r w:rsidDel="00000000" w:rsidR="00000000" w:rsidRPr="00000000">
              <w:rPr>
                <w:b w:val="1"/>
                <w:rtl w:val="0"/>
              </w:rPr>
              <w:t xml:space="preserve">INDICATIVE CONTENT (LIST TOPICS TO BE COVERED)</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Detailed syllabus and Content annotation</w:t>
            </w:r>
          </w:p>
        </w:tc>
      </w:tr>
      <w:tr>
        <w:trPr>
          <w:cantSplit w:val="0"/>
          <w:trHeight w:val="1328" w:hRule="atLeast"/>
          <w:tblHeader w:val="0"/>
        </w:trPr>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Introduction of the self-assessment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Explanation of its use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Execution of the assessment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Optional: overview of the outcome</w:t>
            </w:r>
            <w:r w:rsidDel="00000000" w:rsidR="00000000" w:rsidRPr="00000000">
              <w:rPr>
                <w:rtl w:val="0"/>
              </w:rPr>
            </w:r>
          </w:p>
        </w:tc>
      </w:tr>
    </w:tbl>
    <w:p w:rsidR="00000000" w:rsidDel="00000000" w:rsidP="00000000" w:rsidRDefault="00000000" w:rsidRPr="00000000" w14:paraId="0000001C">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POSSIBLE TOOLS &amp; RESOURCES</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Rule="auto"/>
              <w:rPr/>
            </w:pPr>
            <w:r w:rsidDel="00000000" w:rsidR="00000000" w:rsidRPr="00000000">
              <w:rPr>
                <w:rtl w:val="0"/>
              </w:rPr>
              <w:t xml:space="preserve">Surveymonkey (digital and analogue)</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Rule="auto"/>
              <w:rPr>
                <w:color w:val="222222"/>
              </w:rPr>
            </w:pPr>
            <w:r w:rsidDel="00000000" w:rsidR="00000000" w:rsidRPr="00000000">
              <w:rPr>
                <w:rtl w:val="0"/>
              </w:rPr>
              <w:t xml:space="preserve">Google forms (digital and analogue)</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76" w:lineRule="auto"/>
              <w:rPr>
                <w:rFonts w:ascii="Cambria" w:cs="Cambria" w:eastAsia="Cambria" w:hAnsi="Cambria"/>
              </w:rPr>
            </w:pPr>
            <w:r w:rsidDel="00000000" w:rsidR="00000000" w:rsidRPr="00000000">
              <w:rPr>
                <w:rtl w:val="0"/>
              </w:rPr>
              <w:t xml:space="preserve">Any other tool for surveys (e.g </w:t>
            </w:r>
            <w:hyperlink r:id="rId7">
              <w:r w:rsidDel="00000000" w:rsidR="00000000" w:rsidRPr="00000000">
                <w:rPr>
                  <w:color w:val="0b57d0"/>
                  <w:rtl w:val="0"/>
                </w:rPr>
                <w:t xml:space="preserve">https://www.limesurvey.org/de</w:t>
              </w:r>
            </w:hyperlink>
            <w:r w:rsidDel="00000000" w:rsidR="00000000" w:rsidRPr="00000000">
              <w:rPr>
                <w:rtl w:val="0"/>
              </w:rPr>
              <w:t xml:space="preserve">; </w:t>
            </w:r>
            <w:r w:rsidDel="00000000" w:rsidR="00000000" w:rsidRPr="00000000">
              <w:rPr>
                <w:rtl w:val="0"/>
              </w:rPr>
              <w:t xml:space="preserve">plea</w:t>
            </w:r>
            <w:r w:rsidDel="00000000" w:rsidR="00000000" w:rsidRPr="00000000">
              <w:rPr>
                <w:rtl w:val="0"/>
              </w:rPr>
              <w:t xml:space="preserve">se check upon data security</w:t>
            </w:r>
            <w:r w:rsidDel="00000000" w:rsidR="00000000" w:rsidRPr="00000000">
              <w:rPr>
                <w:rtl w:val="0"/>
              </w:rPr>
              <w:t xml:space="preserve">!)</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76" w:lineRule="auto"/>
              <w:rPr>
                <w:color w:val="000000"/>
              </w:rPr>
            </w:pPr>
            <w:r w:rsidDel="00000000" w:rsidR="00000000" w:rsidRPr="00000000">
              <w:rPr>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76" w:lineRule="auto"/>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Menti (for summarizing the results, digital and analogue)</w:t>
            </w:r>
            <w:r w:rsidDel="00000000" w:rsidR="00000000" w:rsidRPr="00000000">
              <w:rPr>
                <w:rtl w:val="0"/>
              </w:rPr>
            </w:r>
          </w:p>
        </w:tc>
      </w:tr>
    </w:tbl>
    <w:p w:rsidR="00000000" w:rsidDel="00000000" w:rsidP="00000000" w:rsidRDefault="00000000" w:rsidRPr="00000000" w14:paraId="00000027">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8">
            <w:pPr>
              <w:spacing w:after="120" w:line="276" w:lineRule="auto"/>
              <w:rPr>
                <w:b w:val="1"/>
              </w:rPr>
            </w:pPr>
            <w:r w:rsidDel="00000000" w:rsidR="00000000" w:rsidRPr="00000000">
              <w:rPr>
                <w:b w:val="1"/>
                <w:rtl w:val="0"/>
              </w:rPr>
              <w:t xml:space="preserve">BEST PRACTICE EXAMPLES</w:t>
            </w:r>
          </w:p>
        </w:tc>
      </w:tr>
      <w:tr>
        <w:trPr>
          <w:cantSplit w:val="0"/>
          <w:trHeight w:val="1328" w:hRule="atLeast"/>
          <w:tblHeader w:val="0"/>
        </w:trPr>
        <w:tc>
          <w:tcPr/>
          <w:p w:rsidR="00000000" w:rsidDel="00000000" w:rsidP="00000000" w:rsidRDefault="00000000" w:rsidRPr="00000000" w14:paraId="00000029">
            <w:pPr>
              <w:spacing w:line="276" w:lineRule="auto"/>
              <w:rPr/>
            </w:pPr>
            <w:bookmarkStart w:colFirst="0" w:colLast="0" w:name="_heading=h.gjdgxs" w:id="0"/>
            <w:bookmarkEnd w:id="0"/>
            <w:r w:rsidDel="00000000" w:rsidR="00000000" w:rsidRPr="00000000">
              <w:rPr>
                <w:rtl w:val="0"/>
              </w:rPr>
              <w:t xml:space="preserve">In case that the self-assessment has not been taken beforehand, the host introduces the self-assessment by showing the link on the padlet, which leads directly to Survey Monkey. The host, then, explains why this self-assessment is helpful for evaluating one's own skills and where there is still room to grow. Enough time is given for the participants to assess themselves in a calm atmosphere. The results are given immediately after to each participant, so they know where they stand on the readiness scale on each section. The host has already provided different meeting points according to the readiness scale, where the participants can meet. </w:t>
            </w:r>
          </w:p>
          <w:p w:rsidR="00000000" w:rsidDel="00000000" w:rsidP="00000000" w:rsidRDefault="00000000" w:rsidRPr="00000000" w14:paraId="0000002A">
            <w:pPr>
              <w:spacing w:line="276" w:lineRule="auto"/>
              <w:rPr/>
            </w:pPr>
            <w:bookmarkStart w:colFirst="0" w:colLast="0" w:name="_heading=h.jbxi206zwk0c" w:id="3"/>
            <w:bookmarkEnd w:id="3"/>
            <w:r w:rsidDel="00000000" w:rsidR="00000000" w:rsidRPr="00000000">
              <w:rPr>
                <w:rtl w:val="0"/>
              </w:rPr>
              <w:t xml:space="preserve">Please be aware that different meeting points only make sense, if the event is big enough for there to be several groups made according to the self-assessment results.</w:t>
            </w:r>
          </w:p>
          <w:p w:rsidR="00000000" w:rsidDel="00000000" w:rsidP="00000000" w:rsidRDefault="00000000" w:rsidRPr="00000000" w14:paraId="0000002B">
            <w:pPr>
              <w:spacing w:line="276" w:lineRule="auto"/>
              <w:rPr/>
            </w:pPr>
            <w:r w:rsidDel="00000000" w:rsidR="00000000" w:rsidRPr="00000000">
              <w:rPr>
                <w:rtl w:val="0"/>
              </w:rPr>
              <w:t xml:space="preserve">The approximate time for this module is up to 20 minutes. </w:t>
            </w:r>
          </w:p>
        </w:tc>
      </w:tr>
    </w:tbl>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vertAlign w:val="baseline"/>
        <w:rtl w:val="0"/>
      </w:rPr>
      <w:t xml:space="preserve">Blended multilogues: enhancing transformation and innovation in higher education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-908049</wp:posOffset>
          </wp:positionH>
          <wp:positionV relativeFrom="paragraph">
            <wp:posOffset>-354329</wp:posOffset>
          </wp:positionV>
          <wp:extent cx="1720850" cy="49085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-411479</wp:posOffset>
          </wp:positionV>
          <wp:extent cx="885600" cy="88560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mesurvey.org/de"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Oe1y1UB1UfS5prMaLfpeEq2TuQ==">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2024-07-10T14:54:00Z</dcterms:created>
</cp:coreProperties>
</file>