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b w:val="1"/>
          <w:sz w:val="22"/>
          <w:szCs w:val="22"/>
        </w:rPr>
      </w:pPr>
      <w:bookmarkStart w:colFirst="0" w:colLast="0" w:name="_heading=h.gjdgxs" w:id="0"/>
      <w:bookmarkEnd w:id="0"/>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EVENT DETAILS</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Event Title</w:t>
            </w:r>
          </w:p>
        </w:tc>
        <w:tc>
          <w:tcPr>
            <w:shd w:fill="b8cce4" w:val="clear"/>
          </w:tcPr>
          <w:p w:rsidR="00000000" w:rsidDel="00000000" w:rsidP="00000000" w:rsidRDefault="00000000" w:rsidRPr="00000000" w14:paraId="00000005">
            <w:pPr>
              <w:spacing w:line="276" w:lineRule="auto"/>
              <w:rPr/>
            </w:pPr>
            <w:r w:rsidDel="00000000" w:rsidR="00000000" w:rsidRPr="00000000">
              <w:rPr>
                <w:rtl w:val="0"/>
              </w:rPr>
              <w:t xml:space="preserve">Multiplier Event</w:t>
            </w:r>
          </w:p>
        </w:tc>
      </w:tr>
      <w:tr>
        <w:trPr>
          <w:cantSplit w:val="0"/>
          <w:trHeight w:val="3135"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Description of the Event</w:t>
            </w:r>
          </w:p>
        </w:tc>
        <w:tc>
          <w:tcPr/>
          <w:p w:rsidR="00000000" w:rsidDel="00000000" w:rsidP="00000000" w:rsidRDefault="00000000" w:rsidRPr="00000000" w14:paraId="00000007">
            <w:pPr>
              <w:spacing w:after="160" w:line="276" w:lineRule="auto"/>
              <w:rPr/>
            </w:pPr>
            <w:bookmarkStart w:colFirst="0" w:colLast="0" w:name="_heading=h.1fob9te" w:id="1"/>
            <w:bookmarkEnd w:id="1"/>
            <w:r w:rsidDel="00000000" w:rsidR="00000000" w:rsidRPr="00000000">
              <w:rPr>
                <w:rtl w:val="0"/>
              </w:rPr>
              <w:t xml:space="preserve">The train-the-trainer respectively </w:t>
            </w:r>
            <w:r w:rsidDel="00000000" w:rsidR="00000000" w:rsidRPr="00000000">
              <w:rPr>
                <w:rtl w:val="0"/>
              </w:rPr>
              <w:t xml:space="preserve">multiplier event</w:t>
            </w:r>
            <w:r w:rsidDel="00000000" w:rsidR="00000000" w:rsidRPr="00000000">
              <w:rPr>
                <w:rtl w:val="0"/>
              </w:rPr>
              <w:t xml:space="preserve"> focuses on blended multilogues in higher education (HE). Utili</w:t>
            </w:r>
            <w:r w:rsidDel="00000000" w:rsidR="00000000" w:rsidRPr="00000000">
              <w:rPr>
                <w:rtl w:val="0"/>
              </w:rPr>
              <w:t xml:space="preserve">z</w:t>
            </w:r>
            <w:r w:rsidDel="00000000" w:rsidR="00000000" w:rsidRPr="00000000">
              <w:rPr>
                <w:rtl w:val="0"/>
              </w:rPr>
              <w:t xml:space="preserve">ing the previously established toolkit, the event will showcase the most promising tools and detailed guidance on how to implement various components of the toolkit in HE. It will offer insights into the technical skills educators need to acquire and explain the effective pedagogical and didactic strategies for using blended tools to facilitate multilogues. This initiative aims to enhance lecturers in their </w:t>
            </w:r>
            <w:r w:rsidDel="00000000" w:rsidR="00000000" w:rsidRPr="00000000">
              <w:rPr>
                <w:rtl w:val="0"/>
              </w:rPr>
              <w:t xml:space="preserve">abilities</w:t>
            </w:r>
            <w:r w:rsidDel="00000000" w:rsidR="00000000" w:rsidRPr="00000000">
              <w:rPr>
                <w:rtl w:val="0"/>
              </w:rPr>
              <w:t xml:space="preserve"> to teach and apply these methods, encouraging them to pursue further professional development. It also attempts to bring in the experiences of the trainers when it comes to the questions raised by the multilogue. This is especially important because the event itself will not notably integrate different perspectives from different stakeholders as such. </w:t>
            </w:r>
          </w:p>
        </w:tc>
      </w:tr>
    </w:tbl>
    <w:p w:rsidR="00000000" w:rsidDel="00000000" w:rsidP="00000000" w:rsidRDefault="00000000" w:rsidRPr="00000000" w14:paraId="00000008">
      <w:pPr>
        <w:spacing w:line="276" w:lineRule="auto"/>
        <w:rPr/>
      </w:pPr>
      <w:r w:rsidDel="00000000" w:rsidR="00000000" w:rsidRPr="00000000">
        <w:rPr>
          <w:rtl w:val="0"/>
        </w:rPr>
      </w:r>
    </w:p>
    <w:tbl>
      <w:tblPr>
        <w:tblStyle w:val="Table2"/>
        <w:tblW w:w="9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5"/>
        <w:tblGridChange w:id="0">
          <w:tblGrid>
            <w:gridCol w:w="9195"/>
          </w:tblGrid>
        </w:tblGridChange>
      </w:tblGrid>
      <w:tr>
        <w:trPr>
          <w:cantSplit w:val="0"/>
          <w:tblHeader w:val="0"/>
        </w:trPr>
        <w:tc>
          <w:tcPr>
            <w:shd w:fill="bfbfbf" w:val="clear"/>
          </w:tcPr>
          <w:p w:rsidR="00000000" w:rsidDel="00000000" w:rsidP="00000000" w:rsidRDefault="00000000" w:rsidRPr="00000000" w14:paraId="00000009">
            <w:pPr>
              <w:spacing w:line="276" w:lineRule="auto"/>
              <w:jc w:val="center"/>
              <w:rPr>
                <w:b w:val="1"/>
              </w:rPr>
            </w:pPr>
            <w:r w:rsidDel="00000000" w:rsidR="00000000" w:rsidRPr="00000000">
              <w:rPr>
                <w:b w:val="1"/>
                <w:rtl w:val="0"/>
              </w:rPr>
              <w:t xml:space="preserve">TARGET GROUP &amp; CULTURAL CONSIDERATIONS</w:t>
            </w:r>
          </w:p>
        </w:tc>
      </w:tr>
      <w:tr>
        <w:trPr>
          <w:cantSplit w:val="0"/>
          <w:trHeight w:val="3980.664062499999" w:hRule="atLeast"/>
          <w:tblHeader w:val="0"/>
        </w:trPr>
        <w:tc>
          <w:tcPr/>
          <w:p w:rsidR="00000000" w:rsidDel="00000000" w:rsidP="00000000" w:rsidRDefault="00000000" w:rsidRPr="00000000" w14:paraId="0000000A">
            <w:pPr>
              <w:spacing w:line="276" w:lineRule="auto"/>
              <w:rPr/>
            </w:pPr>
            <w:r w:rsidDel="00000000" w:rsidR="00000000" w:rsidRPr="00000000">
              <w:rPr>
                <w:rtl w:val="0"/>
              </w:rPr>
              <w:t xml:space="preserve">These modules constitute</w:t>
            </w:r>
            <w:r w:rsidDel="00000000" w:rsidR="00000000" w:rsidRPr="00000000">
              <w:rPr>
                <w:rtl w:val="0"/>
              </w:rPr>
              <w:t xml:space="preserve"> a framework</w:t>
            </w:r>
            <w:r w:rsidDel="00000000" w:rsidR="00000000" w:rsidRPr="00000000">
              <w:rPr>
                <w:rtl w:val="0"/>
              </w:rPr>
              <w:t xml:space="preserve"> for training lecturers to implement multilogues in a blended format, making them the key target audience. Lecturers in higher education are often used to implement traditional teaching methods in an analogues environment, which is supposed to be diversified through the toolkit and the results of the multilogues project.</w:t>
            </w:r>
          </w:p>
          <w:p w:rsidR="00000000" w:rsidDel="00000000" w:rsidP="00000000" w:rsidRDefault="00000000" w:rsidRPr="00000000" w14:paraId="0000000B">
            <w:pPr>
              <w:spacing w:line="276" w:lineRule="auto"/>
              <w:rPr/>
            </w:pPr>
            <w:r w:rsidDel="00000000" w:rsidR="00000000" w:rsidRPr="00000000">
              <w:rPr>
                <w:rtl w:val="0"/>
              </w:rPr>
              <w:t xml:space="preserve">In addition, the aim is to multiply the idea of the multilogue. Therefore, the target group does not necessarily consist of those who are teachers, but also those who can be counted as multipliers, for instance, people who are responsible for the educational program as well as project and program coordinators in HE.</w:t>
            </w:r>
          </w:p>
          <w:p w:rsidR="00000000" w:rsidDel="00000000" w:rsidP="00000000" w:rsidRDefault="00000000" w:rsidRPr="00000000" w14:paraId="0000000C">
            <w:pPr>
              <w:spacing w:line="276" w:lineRule="auto"/>
              <w:rPr/>
            </w:pPr>
            <w:r w:rsidDel="00000000" w:rsidR="00000000" w:rsidRPr="00000000">
              <w:rPr>
                <w:rtl w:val="0"/>
              </w:rPr>
              <w:t xml:space="preserve">Finally, a multilogue lives off its diverse stakeholders. The train-the-trainer event would also benefit from an involvement of participants who are not directly connected to HE. Ideally, these would be participants who are, nevertheless, potential collaborators of HE institutions and instigators of a multilogue themselves. These could be, amongst others, NGOs or governmental </w:t>
            </w:r>
            <w:r w:rsidDel="00000000" w:rsidR="00000000" w:rsidRPr="00000000">
              <w:rPr>
                <w:rtl w:val="0"/>
              </w:rPr>
              <w:t xml:space="preserve">organisations</w:t>
            </w:r>
            <w:r w:rsidDel="00000000" w:rsidR="00000000" w:rsidRPr="00000000">
              <w:rPr>
                <w:rtl w:val="0"/>
              </w:rPr>
              <w:t xml:space="preserve">.</w:t>
            </w:r>
          </w:p>
          <w:p w:rsidR="00000000" w:rsidDel="00000000" w:rsidP="00000000" w:rsidRDefault="00000000" w:rsidRPr="00000000" w14:paraId="0000000D">
            <w:pPr>
              <w:spacing w:line="276" w:lineRule="auto"/>
              <w:rPr/>
            </w:pPr>
            <w:r w:rsidDel="00000000" w:rsidR="00000000" w:rsidRPr="00000000">
              <w:rPr>
                <w:rtl w:val="0"/>
              </w:rPr>
              <w:t xml:space="preserve">As the train-the-trainer events (can) take place in different countries, the cultural context has to be taken into consideration. In order to adapt to cultural and other differences, we have provided different modules for the event, which can be combined according to one’s needs.</w:t>
            </w:r>
          </w:p>
        </w:tc>
      </w:tr>
    </w:tbl>
    <w:p w:rsidR="00000000" w:rsidDel="00000000" w:rsidP="00000000" w:rsidRDefault="00000000" w:rsidRPr="00000000" w14:paraId="0000000E">
      <w:pPr>
        <w:spacing w:line="276" w:lineRule="auto"/>
        <w:rPr/>
      </w:pPr>
      <w:r w:rsidDel="00000000" w:rsidR="00000000" w:rsidRPr="00000000">
        <w:rPr>
          <w:rtl w:val="0"/>
        </w:rPr>
      </w:r>
    </w:p>
    <w:tbl>
      <w:tblPr>
        <w:tblStyle w:val="Table3"/>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gridSpan w:val="2"/>
            <w:shd w:fill="cbcdd1" w:val="clear"/>
          </w:tcPr>
          <w:p w:rsidR="00000000" w:rsidDel="00000000" w:rsidP="00000000" w:rsidRDefault="00000000" w:rsidRPr="00000000" w14:paraId="0000000F">
            <w:pPr>
              <w:spacing w:line="276" w:lineRule="auto"/>
              <w:jc w:val="center"/>
              <w:rPr>
                <w:b w:val="1"/>
              </w:rPr>
            </w:pPr>
            <w:r w:rsidDel="00000000" w:rsidR="00000000" w:rsidRPr="00000000">
              <w:rPr>
                <w:b w:val="1"/>
                <w:rtl w:val="0"/>
              </w:rPr>
              <w:t xml:space="preserve">EVENT LEARNING OUTCOMES (knowledge and skills)</w:t>
            </w:r>
          </w:p>
        </w:tc>
      </w:tr>
      <w:tr>
        <w:trPr>
          <w:cantSplit w:val="0"/>
          <w:tblHeader w:val="0"/>
        </w:trPr>
        <w:tc>
          <w:tcPr>
            <w:gridSpan w:val="2"/>
            <w:shd w:fill="cbcdd1" w:val="clear"/>
          </w:tcPr>
          <w:p w:rsidR="00000000" w:rsidDel="00000000" w:rsidP="00000000" w:rsidRDefault="00000000" w:rsidRPr="00000000" w14:paraId="00000011">
            <w:pPr>
              <w:spacing w:line="276" w:lineRule="auto"/>
              <w:jc w:val="left"/>
              <w:rPr>
                <w:b w:val="1"/>
              </w:rPr>
            </w:pPr>
            <w:r w:rsidDel="00000000" w:rsidR="00000000" w:rsidRPr="00000000">
              <w:rPr>
                <w:b w:val="1"/>
                <w:rtl w:val="0"/>
              </w:rPr>
              <w:t xml:space="preserve">Upon successful completion of the multiplier event, the educator will have:</w:t>
            </w:r>
          </w:p>
        </w:tc>
      </w:tr>
      <w:tr>
        <w:trPr>
          <w:cantSplit w:val="0"/>
          <w:tblHeader w:val="0"/>
        </w:trPr>
        <w:tc>
          <w:tcPr/>
          <w:p w:rsidR="00000000" w:rsidDel="00000000" w:rsidP="00000000" w:rsidRDefault="00000000" w:rsidRPr="00000000" w14:paraId="00000013">
            <w:pPr>
              <w:spacing w:line="276" w:lineRule="auto"/>
              <w:rPr/>
            </w:pPr>
            <w:r w:rsidDel="00000000" w:rsidR="00000000" w:rsidRPr="00000000">
              <w:rPr>
                <w:rtl w:val="0"/>
              </w:rPr>
              <w:t xml:space="preserve">LO1</w:t>
            </w:r>
          </w:p>
        </w:tc>
        <w:tc>
          <w:tcPr/>
          <w:p w:rsidR="00000000" w:rsidDel="00000000" w:rsidP="00000000" w:rsidRDefault="00000000" w:rsidRPr="00000000" w14:paraId="00000014">
            <w:pPr>
              <w:widowControl w:val="0"/>
              <w:spacing w:after="240" w:line="276" w:lineRule="auto"/>
              <w:jc w:val="left"/>
              <w:rPr/>
            </w:pPr>
            <w:r w:rsidDel="00000000" w:rsidR="00000000" w:rsidRPr="00000000">
              <w:rPr>
                <w:rtl w:val="0"/>
              </w:rPr>
              <w:t xml:space="preserve">completed the </w:t>
            </w:r>
            <w:r w:rsidDel="00000000" w:rsidR="00000000" w:rsidRPr="00000000">
              <w:rPr>
                <w:rtl w:val="0"/>
              </w:rPr>
              <w:t xml:space="preserve">self-evaluation</w:t>
            </w:r>
            <w:r w:rsidDel="00000000" w:rsidR="00000000" w:rsidRPr="00000000">
              <w:rPr>
                <w:rtl w:val="0"/>
              </w:rPr>
              <w:t xml:space="preserve"> form in order to estimate her or his skills needed for a </w:t>
            </w:r>
            <w:r w:rsidDel="00000000" w:rsidR="00000000" w:rsidRPr="00000000">
              <w:rPr>
                <w:rtl w:val="0"/>
              </w:rPr>
              <w:t xml:space="preserve">multilogue</w:t>
            </w:r>
            <w:r w:rsidDel="00000000" w:rsidR="00000000" w:rsidRPr="00000000">
              <w:rPr>
                <w:rtl w:val="0"/>
              </w:rPr>
              <w:t xml:space="preserve">.</w:t>
            </w:r>
          </w:p>
        </w:tc>
      </w:tr>
      <w:tr>
        <w:trPr>
          <w:cantSplit w:val="0"/>
          <w:tblHeader w:val="0"/>
        </w:trPr>
        <w:tc>
          <w:tcPr/>
          <w:p w:rsidR="00000000" w:rsidDel="00000000" w:rsidP="00000000" w:rsidRDefault="00000000" w:rsidRPr="00000000" w14:paraId="00000015">
            <w:pPr>
              <w:spacing w:line="276" w:lineRule="auto"/>
              <w:rPr/>
            </w:pPr>
            <w:r w:rsidDel="00000000" w:rsidR="00000000" w:rsidRPr="00000000">
              <w:rPr>
                <w:rtl w:val="0"/>
              </w:rPr>
              <w:t xml:space="preserve">LO2</w:t>
            </w:r>
          </w:p>
        </w:tc>
        <w:tc>
          <w:tcPr/>
          <w:p w:rsidR="00000000" w:rsidDel="00000000" w:rsidP="00000000" w:rsidRDefault="00000000" w:rsidRPr="00000000" w14:paraId="00000016">
            <w:pPr>
              <w:widowControl w:val="0"/>
              <w:spacing w:after="240" w:line="276" w:lineRule="auto"/>
              <w:jc w:val="left"/>
              <w:rPr/>
            </w:pPr>
            <w:r w:rsidDel="00000000" w:rsidR="00000000" w:rsidRPr="00000000">
              <w:rPr>
                <w:rtl w:val="0"/>
              </w:rPr>
              <w:t xml:space="preserve">been introduced to the toolkit.</w:t>
            </w:r>
          </w:p>
        </w:tc>
      </w:tr>
      <w:tr>
        <w:trPr>
          <w:cantSplit w:val="0"/>
          <w:tblHeader w:val="0"/>
        </w:trPr>
        <w:tc>
          <w:tcPr/>
          <w:p w:rsidR="00000000" w:rsidDel="00000000" w:rsidP="00000000" w:rsidRDefault="00000000" w:rsidRPr="00000000" w14:paraId="00000017">
            <w:pPr>
              <w:spacing w:line="276" w:lineRule="auto"/>
              <w:rPr/>
            </w:pPr>
            <w:r w:rsidDel="00000000" w:rsidR="00000000" w:rsidRPr="00000000">
              <w:rPr>
                <w:rtl w:val="0"/>
              </w:rPr>
              <w:t xml:space="preserve">LO3</w:t>
            </w:r>
          </w:p>
        </w:tc>
        <w:tc>
          <w:tcPr/>
          <w:p w:rsidR="00000000" w:rsidDel="00000000" w:rsidP="00000000" w:rsidRDefault="00000000" w:rsidRPr="00000000" w14:paraId="00000018">
            <w:pPr>
              <w:spacing w:after="240" w:line="276" w:lineRule="auto"/>
              <w:rPr/>
            </w:pPr>
            <w:r w:rsidDel="00000000" w:rsidR="00000000" w:rsidRPr="00000000">
              <w:rPr>
                <w:rtl w:val="0"/>
              </w:rPr>
              <w:t xml:space="preserve">knowledge on how to use the </w:t>
            </w:r>
            <w:r w:rsidDel="00000000" w:rsidR="00000000" w:rsidRPr="00000000">
              <w:rPr>
                <w:rtl w:val="0"/>
              </w:rPr>
              <w:t xml:space="preserve">toolkit</w:t>
            </w:r>
            <w:r w:rsidDel="00000000" w:rsidR="00000000" w:rsidRPr="00000000">
              <w:rPr>
                <w:rtl w:val="0"/>
              </w:rPr>
              <w:t xml:space="preserve">.</w:t>
            </w:r>
          </w:p>
        </w:tc>
      </w:tr>
      <w:tr>
        <w:trPr>
          <w:cantSplit w:val="0"/>
          <w:tblHeader w:val="0"/>
        </w:trPr>
        <w:tc>
          <w:tcPr/>
          <w:p w:rsidR="00000000" w:rsidDel="00000000" w:rsidP="00000000" w:rsidRDefault="00000000" w:rsidRPr="00000000" w14:paraId="00000019">
            <w:pPr>
              <w:spacing w:line="276" w:lineRule="auto"/>
              <w:rPr/>
            </w:pPr>
            <w:r w:rsidDel="00000000" w:rsidR="00000000" w:rsidRPr="00000000">
              <w:rPr>
                <w:rtl w:val="0"/>
              </w:rPr>
              <w:t xml:space="preserve">LO4</w:t>
            </w:r>
          </w:p>
        </w:tc>
        <w:tc>
          <w:tcPr/>
          <w:p w:rsidR="00000000" w:rsidDel="00000000" w:rsidP="00000000" w:rsidRDefault="00000000" w:rsidRPr="00000000" w14:paraId="0000001A">
            <w:pPr>
              <w:widowControl w:val="0"/>
              <w:spacing w:after="240" w:line="276" w:lineRule="auto"/>
              <w:jc w:val="left"/>
              <w:rPr/>
            </w:pPr>
            <w:r w:rsidDel="00000000" w:rsidR="00000000" w:rsidRPr="00000000">
              <w:rPr>
                <w:rtl w:val="0"/>
              </w:rPr>
              <w:t xml:space="preserve">guidance on what skills are needed for a multilogue.</w:t>
            </w:r>
          </w:p>
        </w:tc>
      </w:tr>
      <w:tr>
        <w:trPr>
          <w:cantSplit w:val="0"/>
          <w:tblHeader w:val="0"/>
        </w:trPr>
        <w:tc>
          <w:tcPr/>
          <w:p w:rsidR="00000000" w:rsidDel="00000000" w:rsidP="00000000" w:rsidRDefault="00000000" w:rsidRPr="00000000" w14:paraId="0000001B">
            <w:pPr>
              <w:spacing w:line="276" w:lineRule="auto"/>
              <w:rPr/>
            </w:pPr>
            <w:r w:rsidDel="00000000" w:rsidR="00000000" w:rsidRPr="00000000">
              <w:rPr>
                <w:rtl w:val="0"/>
              </w:rPr>
              <w:t xml:space="preserve">LO5</w:t>
            </w:r>
          </w:p>
        </w:tc>
        <w:tc>
          <w:tcPr/>
          <w:p w:rsidR="00000000" w:rsidDel="00000000" w:rsidP="00000000" w:rsidRDefault="00000000" w:rsidRPr="00000000" w14:paraId="0000001C">
            <w:pPr>
              <w:widowControl w:val="0"/>
              <w:spacing w:after="240" w:line="276" w:lineRule="auto"/>
              <w:jc w:val="left"/>
              <w:rPr/>
            </w:pPr>
            <w:r w:rsidDel="00000000" w:rsidR="00000000" w:rsidRPr="00000000">
              <w:rPr>
                <w:rtl w:val="0"/>
              </w:rPr>
              <w:t xml:space="preserve">understood pedagogical and didactic strategies needed for the creation of a multilogue.</w:t>
            </w:r>
          </w:p>
        </w:tc>
      </w:tr>
      <w:tr>
        <w:trPr>
          <w:cantSplit w:val="0"/>
          <w:tblHeader w:val="0"/>
        </w:trPr>
        <w:tc>
          <w:tcPr/>
          <w:p w:rsidR="00000000" w:rsidDel="00000000" w:rsidP="00000000" w:rsidRDefault="00000000" w:rsidRPr="00000000" w14:paraId="0000001D">
            <w:pPr>
              <w:spacing w:line="276" w:lineRule="auto"/>
              <w:rPr/>
            </w:pPr>
            <w:r w:rsidDel="00000000" w:rsidR="00000000" w:rsidRPr="00000000">
              <w:rPr>
                <w:rtl w:val="0"/>
              </w:rPr>
              <w:t xml:space="preserve">LO6</w:t>
            </w:r>
          </w:p>
        </w:tc>
        <w:tc>
          <w:tcPr/>
          <w:p w:rsidR="00000000" w:rsidDel="00000000" w:rsidP="00000000" w:rsidRDefault="00000000" w:rsidRPr="00000000" w14:paraId="0000001E">
            <w:pPr>
              <w:widowControl w:val="0"/>
              <w:spacing w:after="240" w:line="276" w:lineRule="auto"/>
              <w:jc w:val="left"/>
              <w:rPr/>
            </w:pPr>
            <w:r w:rsidDel="00000000" w:rsidR="00000000" w:rsidRPr="00000000">
              <w:rPr>
                <w:rtl w:val="0"/>
              </w:rPr>
              <w:t xml:space="preserve">been introduced to selected tools.</w:t>
            </w:r>
          </w:p>
        </w:tc>
      </w:tr>
      <w:tr>
        <w:trPr>
          <w:cantSplit w:val="0"/>
          <w:tblHeader w:val="0"/>
        </w:trPr>
        <w:tc>
          <w:tcPr/>
          <w:p w:rsidR="00000000" w:rsidDel="00000000" w:rsidP="00000000" w:rsidRDefault="00000000" w:rsidRPr="00000000" w14:paraId="0000001F">
            <w:pPr>
              <w:spacing w:line="276" w:lineRule="auto"/>
              <w:rPr/>
            </w:pPr>
            <w:r w:rsidDel="00000000" w:rsidR="00000000" w:rsidRPr="00000000">
              <w:rPr>
                <w:rtl w:val="0"/>
              </w:rPr>
              <w:t xml:space="preserve">LO7</w:t>
            </w:r>
          </w:p>
        </w:tc>
        <w:tc>
          <w:tcPr/>
          <w:p w:rsidR="00000000" w:rsidDel="00000000" w:rsidP="00000000" w:rsidRDefault="00000000" w:rsidRPr="00000000" w14:paraId="00000020">
            <w:pPr>
              <w:widowControl w:val="0"/>
              <w:spacing w:after="240" w:line="276" w:lineRule="auto"/>
              <w:jc w:val="left"/>
              <w:rPr/>
            </w:pPr>
            <w:r w:rsidDel="00000000" w:rsidR="00000000" w:rsidRPr="00000000">
              <w:rPr>
                <w:rtl w:val="0"/>
              </w:rPr>
              <w:t xml:space="preserve">had guidance on how to train other trainers.</w:t>
            </w:r>
          </w:p>
        </w:tc>
      </w:tr>
      <w:tr>
        <w:trPr>
          <w:cantSplit w:val="0"/>
          <w:tblHeader w:val="0"/>
        </w:trPr>
        <w:tc>
          <w:tcPr/>
          <w:p w:rsidR="00000000" w:rsidDel="00000000" w:rsidP="00000000" w:rsidRDefault="00000000" w:rsidRPr="00000000" w14:paraId="00000021">
            <w:pPr>
              <w:spacing w:line="276" w:lineRule="auto"/>
              <w:rPr/>
            </w:pPr>
            <w:r w:rsidDel="00000000" w:rsidR="00000000" w:rsidRPr="00000000">
              <w:rPr>
                <w:rtl w:val="0"/>
              </w:rPr>
              <w:t xml:space="preserve">LO8</w:t>
            </w:r>
          </w:p>
        </w:tc>
        <w:tc>
          <w:tcPr/>
          <w:p w:rsidR="00000000" w:rsidDel="00000000" w:rsidP="00000000" w:rsidRDefault="00000000" w:rsidRPr="00000000" w14:paraId="00000022">
            <w:pPr>
              <w:widowControl w:val="0"/>
              <w:spacing w:after="240" w:line="276" w:lineRule="auto"/>
              <w:jc w:val="left"/>
              <w:rPr/>
            </w:pPr>
            <w:r w:rsidDel="00000000" w:rsidR="00000000" w:rsidRPr="00000000">
              <w:rPr>
                <w:rtl w:val="0"/>
              </w:rPr>
              <w:t xml:space="preserve">been encouraged to proliferate the concept of multilogues.</w:t>
            </w:r>
          </w:p>
        </w:tc>
      </w:tr>
    </w:tbl>
    <w:p w:rsidR="00000000" w:rsidDel="00000000" w:rsidP="00000000" w:rsidRDefault="00000000" w:rsidRPr="00000000" w14:paraId="00000023">
      <w:pPr>
        <w:spacing w:line="276" w:lineRule="auto"/>
        <w:rPr>
          <w:b w:val="1"/>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4">
            <w:pPr>
              <w:spacing w:line="276" w:lineRule="auto"/>
              <w:jc w:val="center"/>
              <w:rPr>
                <w:b w:val="1"/>
              </w:rPr>
            </w:pPr>
            <w:bookmarkStart w:colFirst="0" w:colLast="0" w:name="_heading=h.kpcfmik2eimq" w:id="2"/>
            <w:bookmarkEnd w:id="2"/>
            <w:r w:rsidDel="00000000" w:rsidR="00000000" w:rsidRPr="00000000">
              <w:rPr>
                <w:b w:val="1"/>
                <w:rtl w:val="0"/>
              </w:rPr>
              <w:t xml:space="preserve">INDICATIVE CONTENT (LIST TOPICS TO BE COVERED)</w:t>
            </w:r>
          </w:p>
          <w:p w:rsidR="00000000" w:rsidDel="00000000" w:rsidP="00000000" w:rsidRDefault="00000000" w:rsidRPr="00000000" w14:paraId="00000025">
            <w:pPr>
              <w:spacing w:line="276" w:lineRule="auto"/>
              <w:jc w:val="center"/>
              <w:rPr>
                <w:b w:val="1"/>
              </w:rPr>
            </w:pPr>
            <w:r w:rsidDel="00000000" w:rsidR="00000000" w:rsidRPr="00000000">
              <w:rPr>
                <w:b w:val="1"/>
                <w:rtl w:val="0"/>
              </w:rPr>
              <w:t xml:space="preserve">Detailed syllabus and Content annotation</w:t>
            </w:r>
          </w:p>
        </w:tc>
      </w:tr>
      <w:tr>
        <w:trPr>
          <w:cantSplit w:val="0"/>
          <w:trHeight w:val="1328" w:hRule="atLeast"/>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syllabus can be adapted to one’s individual needs and purposes. Since the audience might differ to a certain degree as well as the institution hosting the event, flexibility is required. Therefore, several modules are provided, which can be combined and structured according to one’s preferences in order to create the event. Only when it comes to some modules, a certain structure </w:t>
            </w:r>
            <w:r w:rsidDel="00000000" w:rsidR="00000000" w:rsidRPr="00000000">
              <w:rPr>
                <w:rtl w:val="0"/>
              </w:rPr>
              <w:t xml:space="preserve">is recommended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27">
      <w:pPr>
        <w:spacing w:line="276" w:lineRule="auto"/>
        <w:rPr/>
      </w:pPr>
      <w:r w:rsidDel="00000000" w:rsidR="00000000" w:rsidRPr="00000000">
        <w:rPr>
          <w:rtl w:val="0"/>
        </w:rPr>
        <w:t xml:space="preserve"> </w:t>
      </w:r>
    </w:p>
    <w:tbl>
      <w:tblPr>
        <w:tblStyle w:val="Table5"/>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28">
            <w:pPr>
              <w:spacing w:line="276" w:lineRule="auto"/>
              <w:jc w:val="center"/>
              <w:rPr>
                <w:b w:val="1"/>
              </w:rPr>
            </w:pPr>
            <w:r w:rsidDel="00000000" w:rsidR="00000000" w:rsidRPr="00000000">
              <w:rPr>
                <w:b w:val="1"/>
                <w:rtl w:val="0"/>
              </w:rPr>
              <w:t xml:space="preserve">POSSIBLE TOOLS, METHODS &amp; RESOURCES</w:t>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6"/>
        <w:tblW w:w="9204.0" w:type="dxa"/>
        <w:jc w:val="left"/>
        <w:tblLayout w:type="fixed"/>
        <w:tblLook w:val="0400"/>
      </w:tblPr>
      <w:tblGrid>
        <w:gridCol w:w="490"/>
        <w:gridCol w:w="8714"/>
        <w:tblGridChange w:id="0">
          <w:tblGrid>
            <w:gridCol w:w="490"/>
            <w:gridCol w:w="8714"/>
          </w:tblGrid>
        </w:tblGridChange>
      </w:tblGrid>
      <w:tr>
        <w:trPr>
          <w:cantSplit w:val="0"/>
          <w:trHeight w:val="1333.046875000001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0" w:line="276" w:lineRule="auto"/>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200" w:line="276" w:lineRule="auto"/>
              <w:rPr/>
            </w:pPr>
            <w:r w:rsidDel="00000000" w:rsidR="00000000" w:rsidRPr="00000000">
              <w:rPr>
                <w:rtl w:val="0"/>
              </w:rPr>
              <w:t xml:space="preserve">The resources differ with every module (cf. modules). Ideally, </w:t>
            </w:r>
            <w:r w:rsidDel="00000000" w:rsidR="00000000" w:rsidRPr="00000000">
              <w:rPr>
                <w:rtl w:val="0"/>
              </w:rPr>
              <w:t xml:space="preserve">a variety of methods from the toolkit</w:t>
            </w:r>
            <w:r w:rsidDel="00000000" w:rsidR="00000000" w:rsidRPr="00000000">
              <w:rPr>
                <w:rtl w:val="0"/>
              </w:rPr>
              <w:t xml:space="preserve">, possibly along with appropriate technical software, are implemented, to ensure a diverse and rewarding learning experience. As long as their multiplicity does not lead to an overburdening of the participants or to a negative effect on the teaching content, of course.</w:t>
            </w:r>
          </w:p>
        </w:tc>
      </w:tr>
    </w:tbl>
    <w:p w:rsidR="00000000" w:rsidDel="00000000" w:rsidP="00000000" w:rsidRDefault="00000000" w:rsidRPr="00000000" w14:paraId="0000002C">
      <w:pPr>
        <w:spacing w:line="276" w:lineRule="auto"/>
        <w:rPr>
          <w:rFonts w:ascii="Cambria" w:cs="Cambria" w:eastAsia="Cambria" w:hAnsi="Cambria"/>
          <w:sz w:val="24"/>
          <w:szCs w:val="24"/>
        </w:rPr>
      </w:pPr>
      <w:r w:rsidDel="00000000" w:rsidR="00000000" w:rsidRPr="00000000">
        <w:rPr>
          <w:rtl w:val="0"/>
        </w:rPr>
      </w:r>
    </w:p>
    <w:tbl>
      <w:tblPr>
        <w:tblStyle w:val="Table7"/>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D">
            <w:pPr>
              <w:spacing w:after="120" w:line="276" w:lineRule="auto"/>
              <w:jc w:val="center"/>
              <w:rPr>
                <w:b w:val="1"/>
              </w:rPr>
            </w:pPr>
            <w:r w:rsidDel="00000000" w:rsidR="00000000" w:rsidRPr="00000000">
              <w:rPr>
                <w:b w:val="1"/>
                <w:rtl w:val="0"/>
              </w:rPr>
              <w:t xml:space="preserve">BEST PRACTICE EXAMPLES</w:t>
            </w:r>
          </w:p>
        </w:tc>
      </w:tr>
      <w:tr>
        <w:trPr>
          <w:cantSplit w:val="0"/>
          <w:trHeight w:val="1328" w:hRule="atLeast"/>
          <w:tblHeader w:val="0"/>
        </w:trPr>
        <w:tc>
          <w:tcPr/>
          <w:p w:rsidR="00000000" w:rsidDel="00000000" w:rsidP="00000000" w:rsidRDefault="00000000" w:rsidRPr="00000000" w14:paraId="0000002E">
            <w:pPr>
              <w:spacing w:after="120" w:line="276" w:lineRule="auto"/>
              <w:jc w:val="left"/>
              <w:rPr/>
            </w:pPr>
            <w:bookmarkStart w:colFirst="0" w:colLast="0" w:name="_heading=h.gjdgxs" w:id="0"/>
            <w:bookmarkEnd w:id="0"/>
            <w:r w:rsidDel="00000000" w:rsidR="00000000" w:rsidRPr="00000000">
              <w:rPr>
                <w:rtl w:val="0"/>
              </w:rPr>
              <w:t xml:space="preserve">At the very end of this document</w:t>
            </w:r>
            <w:sdt>
              <w:sdtPr>
                <w:tag w:val="goog_rdk_0"/>
              </w:sdtPr>
              <w:sdtContent>
                <w:commentRangeStart w:id="0"/>
              </w:sdtContent>
            </w:sdt>
            <w:r w:rsidDel="00000000" w:rsidR="00000000" w:rsidRPr="00000000">
              <w:rPr>
                <w:rtl w:val="0"/>
              </w:rPr>
              <w:t xml:space="preserve">, several examples</w:t>
            </w:r>
            <w:commentRangeEnd w:id="0"/>
            <w:r w:rsidDel="00000000" w:rsidR="00000000" w:rsidRPr="00000000">
              <w:commentReference w:id="0"/>
            </w:r>
            <w:r w:rsidDel="00000000" w:rsidR="00000000" w:rsidRPr="00000000">
              <w:rPr>
                <w:rtl w:val="0"/>
              </w:rPr>
              <w:t xml:space="preserve"> are given. The syllabi of the very first multiplier events held in Luneburg, Uppsala, Trnava, and Munich will show how diverse such an event can be structured and adapted to the participants’ experience and interests. </w:t>
            </w:r>
          </w:p>
        </w:tc>
      </w:tr>
    </w:tbl>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risha Kops" w:id="0" w:date="2024-08-14T13:31:13Z">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actually only applies, if we opt to give not only the Munich example but the others as well.</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3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tabs>
        <w:tab w:val="center" w:leader="none" w:pos="4513"/>
        <w:tab w:val="right" w:leader="none" w:pos="9026"/>
      </w:tabs>
      <w:spacing w:after="0" w:lineRule="auto"/>
      <w:jc w:val="center"/>
      <w:rPr>
        <w:b w:val="1"/>
        <w:color w:val="1f497d"/>
        <w:sz w:val="28"/>
        <w:szCs w:val="28"/>
      </w:rPr>
    </w:pPr>
    <w:r w:rsidDel="00000000" w:rsidR="00000000" w:rsidRPr="00000000">
      <w:rPr>
        <w:b w:val="1"/>
        <w:color w:val="1f497d"/>
        <w:sz w:val="28"/>
        <w:szCs w:val="28"/>
        <w:vertAlign w:val="baseline"/>
        <w:rtl w:val="0"/>
      </w:rPr>
      <w:t xml:space="preserve">Blended multilogues: enhancing transformation and innovation in higher education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-908049</wp:posOffset>
          </wp:positionH>
          <wp:positionV relativeFrom="paragraph">
            <wp:posOffset>-354329</wp:posOffset>
          </wp:positionV>
          <wp:extent cx="1720850" cy="49085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-411479</wp:posOffset>
          </wp:positionV>
          <wp:extent cx="885600" cy="88560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I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Standard" w:default="1">
    <w:name w:val="Normal"/>
    <w:qFormat w:val="1"/>
  </w:style>
  <w:style w:type="paragraph" w:styleId="berschrift1">
    <w:name w:val="heading 1"/>
    <w:basedOn w:val="Standard"/>
    <w:next w:val="Standard"/>
    <w:uiPriority w:val="9"/>
    <w:qFormat w:val="1"/>
    <w:pPr>
      <w:spacing w:after="60" w:before="240"/>
      <w:jc w:val="left"/>
      <w:outlineLvl w:val="0"/>
    </w:pPr>
    <w:rPr>
      <w:b w:val="1"/>
      <w:sz w:val="24"/>
      <w:szCs w:val="24"/>
    </w:rPr>
  </w:style>
  <w:style w:type="paragraph" w:styleId="berschrift2">
    <w:name w:val="heading 2"/>
    <w:basedOn w:val="Standard"/>
    <w:next w:val="Standard"/>
    <w:uiPriority w:val="9"/>
    <w:semiHidden w:val="1"/>
    <w:unhideWhenUsed w:val="1"/>
    <w:qFormat w:val="1"/>
    <w:pPr>
      <w:spacing w:after="80" w:before="240"/>
      <w:jc w:val="left"/>
      <w:outlineLvl w:val="1"/>
    </w:pPr>
    <w:rPr>
      <w:smallCaps w:val="1"/>
      <w:sz w:val="28"/>
      <w:szCs w:val="28"/>
    </w:rPr>
  </w:style>
  <w:style w:type="paragraph" w:styleId="berschrift3">
    <w:name w:val="heading 3"/>
    <w:basedOn w:val="Standard"/>
    <w:next w:val="Standard"/>
    <w:uiPriority w:val="9"/>
    <w:semiHidden w:val="1"/>
    <w:unhideWhenUsed w:val="1"/>
    <w:qFormat w:val="1"/>
    <w:pPr>
      <w:spacing w:after="0"/>
      <w:jc w:val="left"/>
      <w:outlineLvl w:val="2"/>
    </w:pPr>
    <w:rPr>
      <w:b w:val="1"/>
      <w:i w:val="1"/>
    </w:rPr>
  </w:style>
  <w:style w:type="paragraph" w:styleId="berschrift4">
    <w:name w:val="heading 4"/>
    <w:basedOn w:val="Standard"/>
    <w:next w:val="Standard"/>
    <w:uiPriority w:val="9"/>
    <w:semiHidden w:val="1"/>
    <w:unhideWhenUsed w:val="1"/>
    <w:qFormat w:val="1"/>
    <w:pPr>
      <w:spacing w:after="0" w:before="240"/>
      <w:jc w:val="left"/>
      <w:outlineLvl w:val="3"/>
    </w:pPr>
    <w:rPr>
      <w:smallCaps w:val="1"/>
      <w:sz w:val="22"/>
      <w:szCs w:val="22"/>
    </w:rPr>
  </w:style>
  <w:style w:type="paragraph" w:styleId="berschrift5">
    <w:name w:val="heading 5"/>
    <w:basedOn w:val="Standard"/>
    <w:next w:val="Standard"/>
    <w:uiPriority w:val="9"/>
    <w:semiHidden w:val="1"/>
    <w:unhideWhenUsed w:val="1"/>
    <w:qFormat w:val="1"/>
    <w:pPr>
      <w:spacing w:after="0" w:before="200"/>
      <w:jc w:val="left"/>
      <w:outlineLvl w:val="4"/>
    </w:pPr>
    <w:rPr>
      <w:smallCaps w:val="1"/>
      <w:color w:val="988307"/>
      <w:sz w:val="22"/>
      <w:szCs w:val="22"/>
    </w:rPr>
  </w:style>
  <w:style w:type="paragraph" w:styleId="berschrift6">
    <w:name w:val="heading 6"/>
    <w:basedOn w:val="Standard"/>
    <w:next w:val="Standard"/>
    <w:uiPriority w:val="9"/>
    <w:semiHidden w:val="1"/>
    <w:unhideWhenUsed w:val="1"/>
    <w:qFormat w:val="1"/>
    <w:pPr>
      <w:spacing w:after="0"/>
      <w:jc w:val="left"/>
      <w:outlineLvl w:val="5"/>
    </w:pPr>
    <w:rPr>
      <w:smallCaps w:val="1"/>
      <w:color w:val="ccaf0a"/>
      <w:sz w:val="22"/>
      <w:szCs w:val="2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Titel">
    <w:name w:val="Title"/>
    <w:basedOn w:val="Standard"/>
    <w:next w:val="Standard"/>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paragraph" w:styleId="Untertitel">
    <w:name w:val="Subtitle"/>
    <w:basedOn w:val="Standard"/>
    <w:next w:val="Standard"/>
    <w:uiPriority w:val="11"/>
    <w:qFormat w:val="1"/>
    <w:pPr>
      <w:spacing w:after="240"/>
      <w:jc w:val="left"/>
    </w:pPr>
    <w:rPr>
      <w:rFonts w:ascii="Quattrocento Sans" w:cs="Quattrocento Sans" w:eastAsia="Quattrocento Sans" w:hAnsi="Quattrocento Sans"/>
      <w:i w:val="1"/>
    </w:rPr>
  </w:style>
  <w:style w:type="table" w:styleId="a" w:customStyle="1">
    <w:basedOn w:val="NormaleTabelle"/>
    <w:pPr>
      <w:spacing w:after="0"/>
    </w:pPr>
    <w:tblPr>
      <w:tblStyleRowBandSize w:val="1"/>
      <w:tblStyleColBandSize w:val="1"/>
    </w:tblPr>
  </w:style>
  <w:style w:type="table" w:styleId="a0" w:customStyle="1">
    <w:basedOn w:val="NormaleTabelle"/>
    <w:pPr>
      <w:spacing w:after="0"/>
    </w:pPr>
    <w:tblPr>
      <w:tblStyleRowBandSize w:val="1"/>
      <w:tblStyleColBandSize w:val="1"/>
    </w:tblPr>
  </w:style>
  <w:style w:type="table" w:styleId="a1" w:customStyle="1">
    <w:basedOn w:val="NormaleTabelle"/>
    <w:pPr>
      <w:spacing w:after="0"/>
    </w:pPr>
    <w:tblPr>
      <w:tblStyleRowBandSize w:val="1"/>
      <w:tblStyleColBandSize w:val="1"/>
    </w:tblPr>
  </w:style>
  <w:style w:type="table" w:styleId="a2" w:customStyle="1">
    <w:basedOn w:val="NormaleTabelle"/>
    <w:pPr>
      <w:spacing w:after="0"/>
    </w:pPr>
    <w:tblPr>
      <w:tblStyleRowBandSize w:val="1"/>
      <w:tblStyleColBandSize w:val="1"/>
    </w:tblPr>
  </w:style>
  <w:style w:type="table" w:styleId="a3" w:customStyle="1">
    <w:basedOn w:val="NormaleTabelle"/>
    <w:pPr>
      <w:spacing w:after="0"/>
    </w:pPr>
    <w:tblPr>
      <w:tblStyleRowBandSize w:val="1"/>
      <w:tblStyleColBandSize w:val="1"/>
    </w:tblPr>
  </w:style>
  <w:style w:type="table" w:styleId="a4" w:customStyle="1">
    <w:basedOn w:val="NormaleTabelle"/>
    <w:pPr>
      <w:spacing w:after="0"/>
    </w:pPr>
    <w:tblPr>
      <w:tblStyleRowBandSize w:val="1"/>
      <w:tblStyleColBandSize w:val="1"/>
    </w:tblPr>
  </w:style>
  <w:style w:type="table" w:styleId="a5" w:customStyle="1">
    <w:basedOn w:val="NormaleTabelle"/>
    <w:pPr>
      <w:spacing w:after="0"/>
    </w:pPr>
    <w:tblPr>
      <w:tblStyleRowBandSize w:val="1"/>
      <w:tblStyleColBandSize w:val="1"/>
    </w:tblPr>
  </w:style>
  <w:style w:type="table" w:styleId="a6" w:customStyle="1">
    <w:basedOn w:val="NormaleTabelle"/>
    <w:pPr>
      <w:spacing w:after="0"/>
    </w:pPr>
    <w:tblPr>
      <w:tblStyleRowBandSize w:val="1"/>
      <w:tblStyleColBandSize w:val="1"/>
    </w:tblPr>
  </w:style>
  <w:style w:type="table" w:styleId="a7" w:customStyle="1">
    <w:basedOn w:val="NormaleTabelle"/>
    <w:pPr>
      <w:spacing w:after="0"/>
    </w:pPr>
    <w:tblPr>
      <w:tblStyleRowBandSize w:val="1"/>
      <w:tblStyleColBandSize w:val="1"/>
    </w:tblPr>
  </w:style>
  <w:style w:type="table" w:styleId="a8" w:customStyle="1">
    <w:basedOn w:val="NormaleTabelle"/>
    <w:pPr>
      <w:spacing w:after="0"/>
    </w:pPr>
    <w:tblPr>
      <w:tblStyleRowBandSize w:val="1"/>
      <w:tblStyleColBandSize w:val="1"/>
    </w:tblPr>
  </w:style>
  <w:style w:type="table" w:styleId="a9" w:customStyle="1">
    <w:basedOn w:val="NormaleTabelle"/>
    <w:pPr>
      <w:spacing w:after="0"/>
    </w:pPr>
    <w:tblPr>
      <w:tblStyleRowBandSize w:val="1"/>
      <w:tblStyleColBandSize w:val="1"/>
    </w:tblPr>
  </w:style>
  <w:style w:type="table" w:styleId="aa" w:customStyle="1">
    <w:basedOn w:val="NormaleTabelle"/>
    <w:pPr>
      <w:spacing w:after="0"/>
    </w:pPr>
    <w:tblPr>
      <w:tblStyleRowBandSize w:val="1"/>
      <w:tblStyleColBandSize w:val="1"/>
    </w:tblPr>
  </w:style>
  <w:style w:type="table" w:styleId="ab" w:customStyle="1">
    <w:basedOn w:val="NormaleTabelle"/>
    <w:pPr>
      <w:spacing w:after="0"/>
    </w:pPr>
    <w:tblPr>
      <w:tblStyleRowBandSize w:val="1"/>
      <w:tblStyleColBandSize w:val="1"/>
    </w:tblPr>
  </w:style>
  <w:style w:type="table" w:styleId="ac" w:customStyle="1">
    <w:basedOn w:val="NormaleTabelle"/>
    <w:pPr>
      <w:spacing w:after="0"/>
    </w:pPr>
    <w:tblPr>
      <w:tblStyleRowBandSize w:val="1"/>
      <w:tblStyleColBandSize w:val="1"/>
    </w:tblPr>
  </w:style>
  <w:style w:type="table" w:styleId="ad" w:customStyle="1">
    <w:basedOn w:val="NormaleTabelle"/>
    <w:pPr>
      <w:spacing w:after="0"/>
    </w:pPr>
    <w:tblPr>
      <w:tblStyleRowBandSize w:val="1"/>
      <w:tblStyleColBandSize w:val="1"/>
    </w:tblPr>
  </w:style>
  <w:style w:type="table" w:styleId="ae" w:customStyle="1">
    <w:basedOn w:val="NormaleTabelle"/>
    <w:pPr>
      <w:spacing w:after="0"/>
    </w:pPr>
    <w:tblPr>
      <w:tblStyleRowBandSize w:val="1"/>
      <w:tblStyleColBandSize w:val="1"/>
    </w:tblPr>
  </w:style>
  <w:style w:type="table" w:styleId="af" w:customStyle="1">
    <w:basedOn w:val="NormaleTabelle"/>
    <w:pPr>
      <w:spacing w:after="0"/>
    </w:pPr>
    <w:tblPr>
      <w:tblStyleRowBandSize w:val="1"/>
      <w:tblStyleColBandSize w:val="1"/>
    </w:tblPr>
  </w:style>
  <w:style w:type="table" w:styleId="af0" w:customStyle="1">
    <w:basedOn w:val="NormaleTabelle"/>
    <w:pPr>
      <w:spacing w:after="0"/>
    </w:pPr>
    <w:tblPr>
      <w:tblStyleRowBandSize w:val="1"/>
      <w:tblStyleColBandSize w:val="1"/>
    </w:tblPr>
  </w:style>
  <w:style w:type="table" w:styleId="af1" w:customStyle="1">
    <w:basedOn w:val="NormaleTabelle"/>
    <w:pPr>
      <w:spacing w:after="0"/>
    </w:pPr>
    <w:tblPr>
      <w:tblStyleRowBandSize w:val="1"/>
      <w:tblStyleColBandSize w:val="1"/>
    </w:tblPr>
  </w:style>
  <w:style w:type="table" w:styleId="af2" w:customStyle="1">
    <w:basedOn w:val="NormaleTabelle"/>
    <w:pPr>
      <w:spacing w:after="0"/>
    </w:pPr>
    <w:tblPr>
      <w:tblStyleRowBandSize w:val="1"/>
      <w:tblStyleColBandSize w:val="1"/>
    </w:tblPr>
  </w:style>
  <w:style w:type="table" w:styleId="af3" w:customStyle="1">
    <w:basedOn w:val="NormaleTabelle"/>
    <w:pPr>
      <w:spacing w:after="0"/>
    </w:pPr>
    <w:tblPr>
      <w:tblStyleRowBandSize w:val="1"/>
      <w:tblStyleColBandSize w:val="1"/>
    </w:tblPr>
  </w:style>
  <w:style w:type="table" w:styleId="af4" w:customStyle="1">
    <w:basedOn w:val="NormaleTabelle"/>
    <w:pPr>
      <w:spacing w:after="0"/>
    </w:pPr>
    <w:tblPr>
      <w:tblStyleRowBandSize w:val="1"/>
      <w:tblStyleColBandSize w:val="1"/>
    </w:tblPr>
  </w:style>
  <w:style w:type="table" w:styleId="af5" w:customStyle="1">
    <w:basedOn w:val="NormaleTabelle"/>
    <w:pPr>
      <w:spacing w:after="0"/>
    </w:pPr>
    <w:tblPr>
      <w:tblStyleRowBandSize w:val="1"/>
      <w:tblStyleColBandSize w:val="1"/>
    </w:tblPr>
  </w:style>
  <w:style w:type="table" w:styleId="af6" w:customStyle="1">
    <w:basedOn w:val="NormaleTabelle"/>
    <w:pPr>
      <w:spacing w:after="0"/>
    </w:pPr>
    <w:tblPr>
      <w:tblStyleRowBandSize w:val="1"/>
      <w:tblStyleColBandSize w:val="1"/>
    </w:tblPr>
  </w:style>
  <w:style w:type="table" w:styleId="af7" w:customStyle="1">
    <w:basedOn w:val="NormaleTabelle"/>
    <w:pPr>
      <w:spacing w:after="0"/>
    </w:pPr>
    <w:tblPr>
      <w:tblStyleRowBandSize w:val="1"/>
      <w:tblStyleColBandSize w:val="1"/>
    </w:tblPr>
  </w:style>
  <w:style w:type="table" w:styleId="af8" w:customStyle="1">
    <w:basedOn w:val="NormaleTabelle"/>
    <w:pPr>
      <w:spacing w:after="0"/>
    </w:pPr>
    <w:tblPr>
      <w:tblStyleRowBandSize w:val="1"/>
      <w:tblStyleColBandSize w:val="1"/>
    </w:tblPr>
  </w:style>
  <w:style w:type="table" w:styleId="af9" w:customStyle="1">
    <w:basedOn w:val="NormaleTabelle"/>
    <w:pPr>
      <w:spacing w:after="0"/>
    </w:pPr>
    <w:tblPr>
      <w:tblStyleRowBandSize w:val="1"/>
      <w:tblStyleColBandSize w:val="1"/>
    </w:tblPr>
  </w:style>
  <w:style w:type="table" w:styleId="afa" w:customStyle="1">
    <w:basedOn w:val="NormaleTabelle"/>
    <w:pPr>
      <w:spacing w:after="0"/>
    </w:pPr>
    <w:tblPr>
      <w:tblStyleRowBandSize w:val="1"/>
      <w:tblStyleColBandSize w:val="1"/>
    </w:tblPr>
  </w:style>
  <w:style w:type="table" w:styleId="afb" w:customStyle="1">
    <w:basedOn w:val="NormaleTabelle"/>
    <w:pPr>
      <w:spacing w:after="0"/>
    </w:pPr>
    <w:tblPr>
      <w:tblStyleRowBandSize w:val="1"/>
      <w:tblStyleColBandSize w:val="1"/>
    </w:tblPr>
  </w:style>
  <w:style w:type="table" w:styleId="afc" w:customStyle="1">
    <w:basedOn w:val="NormaleTabelle"/>
    <w:pPr>
      <w:spacing w:after="0"/>
    </w:pPr>
    <w:tblPr>
      <w:tblStyleRowBandSize w:val="1"/>
      <w:tblStyleColBandSize w:val="1"/>
    </w:tblPr>
  </w:style>
  <w:style w:type="table" w:styleId="afd" w:customStyle="1">
    <w:basedOn w:val="NormaleTabelle"/>
    <w:pPr>
      <w:spacing w:after="0"/>
    </w:pPr>
    <w:tblPr>
      <w:tblStyleRowBandSize w:val="1"/>
      <w:tblStyleColBandSize w:val="1"/>
    </w:tblPr>
  </w:style>
  <w:style w:type="table" w:styleId="afe" w:customStyle="1">
    <w:basedOn w:val="NormaleTabelle"/>
    <w:pPr>
      <w:spacing w:after="0"/>
    </w:pPr>
    <w:tblPr>
      <w:tblStyleRowBandSize w:val="1"/>
      <w:tblStyleColBandSize w:val="1"/>
    </w:tblPr>
  </w:style>
  <w:style w:type="table" w:styleId="aff" w:customStyle="1">
    <w:basedOn w:val="NormaleTabelle"/>
    <w:pPr>
      <w:spacing w:after="0"/>
    </w:pPr>
    <w:tblPr>
      <w:tblStyleRowBandSize w:val="1"/>
      <w:tblStyleColBandSize w:val="1"/>
    </w:tblPr>
  </w:style>
  <w:style w:type="table" w:styleId="aff0" w:customStyle="1">
    <w:basedOn w:val="NormaleTabelle"/>
    <w:pPr>
      <w:spacing w:after="0"/>
    </w:pPr>
    <w:tblPr>
      <w:tblStyleRowBandSize w:val="1"/>
      <w:tblStyleColBandSize w:val="1"/>
    </w:tblPr>
  </w:style>
  <w:style w:type="paragraph" w:styleId="Kommentartext">
    <w:name w:val="annotation text"/>
    <w:basedOn w:val="Standard"/>
    <w:link w:val="KommentartextZchn"/>
    <w:uiPriority w:val="99"/>
    <w:semiHidden w:val="1"/>
    <w:unhideWhenUsed w:val="1"/>
  </w:style>
  <w:style w:type="character" w:styleId="KommentartextZchn" w:customStyle="1">
    <w:name w:val="Kommentartext Zchn"/>
    <w:basedOn w:val="Absatz-Standardschriftart"/>
    <w:link w:val="Kommentartext"/>
    <w:uiPriority w:val="99"/>
    <w:semiHidden w:val="1"/>
  </w:style>
  <w:style w:type="character" w:styleId="Kommentarzeichen">
    <w:name w:val="annotation reference"/>
    <w:basedOn w:val="Absatz-Standardschriftart"/>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DF650B"/>
    <w:pPr>
      <w:spacing w:after="0"/>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DF650B"/>
    <w:rPr>
      <w:rFonts w:ascii="Segoe UI" w:cs="Segoe UI" w:hAnsi="Segoe UI"/>
      <w:sz w:val="18"/>
      <w:szCs w:val="18"/>
    </w:rPr>
  </w:style>
  <w:style w:type="character" w:styleId="Hyperlink">
    <w:name w:val="Hyperlink"/>
    <w:basedOn w:val="Absatz-Standardschriftart"/>
    <w:uiPriority w:val="99"/>
    <w:unhideWhenUsed w:val="1"/>
    <w:rsid w:val="00F55370"/>
    <w:rPr>
      <w:color w:val="0000ff"/>
      <w:u w:val="single"/>
    </w:rPr>
  </w:style>
  <w:style w:type="table" w:styleId="aff1" w:customStyle="1">
    <w:basedOn w:val="NormaleTabelle"/>
    <w:pPr>
      <w:spacing w:after="0"/>
    </w:pPr>
    <w:tblPr>
      <w:tblStyleRowBandSize w:val="1"/>
      <w:tblStyleColBandSize w:val="1"/>
    </w:tblPr>
  </w:style>
  <w:style w:type="table" w:styleId="aff2" w:customStyle="1">
    <w:basedOn w:val="NormaleTabelle"/>
    <w:pPr>
      <w:spacing w:after="0"/>
    </w:pPr>
    <w:tblPr>
      <w:tblStyleRowBandSize w:val="1"/>
      <w:tblStyleColBandSize w:val="1"/>
    </w:tblPr>
  </w:style>
  <w:style w:type="table" w:styleId="aff3" w:customStyle="1">
    <w:basedOn w:val="NormaleTabelle"/>
    <w:pPr>
      <w:spacing w:after="0"/>
    </w:pPr>
    <w:tblPr>
      <w:tblStyleRowBandSize w:val="1"/>
      <w:tblStyleColBandSize w:val="1"/>
    </w:tblPr>
  </w:style>
  <w:style w:type="table" w:styleId="aff4" w:customStyle="1">
    <w:basedOn w:val="NormaleTabelle"/>
    <w:pPr>
      <w:spacing w:after="0"/>
    </w:pPr>
    <w:tblPr>
      <w:tblStyleRowBandSize w:val="1"/>
      <w:tblStyleColBandSize w:val="1"/>
    </w:tblPr>
  </w:style>
  <w:style w:type="table" w:styleId="aff5" w:customStyle="1">
    <w:basedOn w:val="NormaleTabelle"/>
    <w:pPr>
      <w:spacing w:after="0"/>
    </w:pPr>
    <w:tblPr>
      <w:tblStyleRowBandSize w:val="1"/>
      <w:tblStyleColBandSize w:val="1"/>
    </w:tblPr>
  </w:style>
  <w:style w:type="table" w:styleId="aff6" w:customStyle="1">
    <w:basedOn w:val="NormaleTabelle"/>
    <w:pPr>
      <w:spacing w:after="0"/>
    </w:pPr>
    <w:tblPr>
      <w:tblStyleRowBandSize w:val="1"/>
      <w:tblStyleColBandSize w:val="1"/>
    </w:tblPr>
  </w:style>
  <w:style w:type="table" w:styleId="Tabellenraster">
    <w:name w:val="Table Grid"/>
    <w:basedOn w:val="NormaleTabelle"/>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7" w:customStyle="1">
    <w:basedOn w:val="NormaleTabelle"/>
    <w:pPr>
      <w:spacing w:after="0"/>
    </w:pPr>
    <w:tblPr>
      <w:tblStyleRowBandSize w:val="1"/>
      <w:tblStyleColBandSize w:val="1"/>
    </w:tblPr>
  </w:style>
  <w:style w:type="table" w:styleId="aff8" w:customStyle="1">
    <w:basedOn w:val="NormaleTabelle"/>
    <w:pPr>
      <w:spacing w:after="0"/>
    </w:pPr>
    <w:tblPr>
      <w:tblStyleRowBandSize w:val="1"/>
      <w:tblStyleColBandSize w:val="1"/>
    </w:tblPr>
  </w:style>
  <w:style w:type="table" w:styleId="aff9" w:customStyle="1">
    <w:basedOn w:val="NormaleTabelle"/>
    <w:pPr>
      <w:spacing w:after="0"/>
    </w:pPr>
    <w:tblPr>
      <w:tblStyleRowBandSize w:val="1"/>
      <w:tblStyleColBandSize w:val="1"/>
    </w:tblPr>
  </w:style>
  <w:style w:type="table" w:styleId="affa" w:customStyle="1">
    <w:basedOn w:val="NormaleTabelle"/>
    <w:pPr>
      <w:spacing w:after="0"/>
    </w:pPr>
    <w:tblPr>
      <w:tblStyleRowBandSize w:val="1"/>
      <w:tblStyleColBandSize w:val="1"/>
    </w:tblPr>
  </w:style>
  <w:style w:type="table" w:styleId="affb" w:customStyle="1">
    <w:basedOn w:val="NormaleTabelle"/>
    <w:pPr>
      <w:spacing w:after="0"/>
    </w:pPr>
    <w:tblPr>
      <w:tblStyleRowBandSize w:val="1"/>
      <w:tblStyleColBandSize w:val="1"/>
    </w:tblPr>
  </w:style>
  <w:style w:type="table" w:styleId="affc" w:customStyle="1">
    <w:basedOn w:val="NormaleTabelle"/>
    <w:pPr>
      <w:spacing w:after="0"/>
    </w:pPr>
    <w:tblPr>
      <w:tblStyleRowBandSize w:val="1"/>
      <w:tblStyleColBandSize w:val="1"/>
    </w:tblPr>
  </w:style>
  <w:style w:type="paragraph" w:styleId="StandardWeb">
    <w:name w:val="Normal (Web)"/>
    <w:basedOn w:val="Standard"/>
    <w:uiPriority w:val="99"/>
    <w:semiHidden w:val="1"/>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enabsatz">
    <w:name w:val="List Paragraph"/>
    <w:basedOn w:val="Standard"/>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berarbeitung">
    <w:name w:val="Revision"/>
    <w:hidden w:val="1"/>
    <w:uiPriority w:val="99"/>
    <w:semiHidden w:val="1"/>
    <w:rsid w:val="00AB5BA3"/>
    <w:pPr>
      <w:spacing w:after="0"/>
      <w:jc w:val="left"/>
    </w:pPr>
  </w:style>
  <w:style w:type="character" w:styleId="UnresolvedMention1" w:customStyle="1">
    <w:name w:val="Unresolved Mention1"/>
    <w:basedOn w:val="Absatz-Standardschriftart"/>
    <w:uiPriority w:val="99"/>
    <w:semiHidden w:val="1"/>
    <w:unhideWhenUsed w:val="1"/>
    <w:rsid w:val="00AB5BA3"/>
    <w:rPr>
      <w:color w:val="605e5c"/>
      <w:shd w:color="auto" w:fill="e1dfdd" w:val="clear"/>
    </w:rPr>
  </w:style>
  <w:style w:type="character" w:styleId="BesuchterLink">
    <w:name w:val="FollowedHyperlink"/>
    <w:basedOn w:val="Absatz-Standardschriftart"/>
    <w:uiPriority w:val="99"/>
    <w:semiHidden w:val="1"/>
    <w:unhideWhenUsed w:val="1"/>
    <w:rsid w:val="00822DC7"/>
    <w:rPr>
      <w:color w:val="800080" w:themeColor="followedHyperlink"/>
      <w:u w:val="single"/>
    </w:rPr>
  </w:style>
  <w:style w:type="paragraph" w:styleId="Kommentarthema">
    <w:name w:val="annotation subject"/>
    <w:basedOn w:val="Kommentartext"/>
    <w:next w:val="Kommentartext"/>
    <w:link w:val="KommentarthemaZchn"/>
    <w:uiPriority w:val="99"/>
    <w:semiHidden w:val="1"/>
    <w:unhideWhenUsed w:val="1"/>
    <w:rsid w:val="00B10ECF"/>
    <w:rPr>
      <w:b w:val="1"/>
      <w:bCs w:val="1"/>
    </w:rPr>
  </w:style>
  <w:style w:type="character" w:styleId="KommentarthemaZchn" w:customStyle="1">
    <w:name w:val="Kommentarthema Zchn"/>
    <w:basedOn w:val="KommentartextZchn"/>
    <w:link w:val="Kommentarthema"/>
    <w:uiPriority w:val="99"/>
    <w:semiHidden w:val="1"/>
    <w:rsid w:val="00B10ECF"/>
    <w:rPr>
      <w:b w:val="1"/>
      <w:bCs w:val="1"/>
    </w:rPr>
  </w:style>
  <w:style w:type="paragraph" w:styleId="Subtitle">
    <w:name w:val="Subtitle"/>
    <w:basedOn w:val="Normal"/>
    <w:next w:val="Normal"/>
    <w:pPr>
      <w:spacing w:after="240" w:lineRule="auto"/>
      <w:jc w:val="left"/>
    </w:pPr>
    <w:rPr>
      <w:rFonts w:ascii="Quattrocento Sans" w:cs="Quattrocento Sans" w:eastAsia="Quattrocento Sans" w:hAnsi="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4nxpJftpOMt40FFXbviyTsMY/w==">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2024-07-10T14:54:00Z</dcterms:created>
</cp:coreProperties>
</file>